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C7A" w:rsidRDefault="000C7921">
      <w:pPr>
        <w:widowControl w:val="0"/>
        <w:jc w:val="center"/>
        <w:rPr>
          <w:rFonts w:cs="Times New Roman"/>
        </w:rPr>
      </w:pPr>
      <w:bookmarkStart w:id="0" w:name="_GoBack"/>
      <w:bookmarkEnd w:id="0"/>
      <w:r>
        <w:rPr>
          <w:rFonts w:cs="Times New Roman"/>
          <w:b/>
        </w:rPr>
        <w:t>South Carolina General Assembly</w:t>
      </w:r>
    </w:p>
    <w:p w:rsidR="00E51C7A" w:rsidRDefault="000C7921">
      <w:pPr>
        <w:widowControl w:val="0"/>
        <w:jc w:val="center"/>
        <w:rPr>
          <w:rFonts w:cs="Times New Roman"/>
        </w:rPr>
      </w:pPr>
      <w:r>
        <w:rPr>
          <w:rFonts w:cs="Times New Roman"/>
        </w:rPr>
        <w:t>118th Session, 2009-2010</w:t>
      </w:r>
    </w:p>
    <w:p w:rsidR="00E51C7A" w:rsidRDefault="00E51C7A">
      <w:pPr>
        <w:widowControl w:val="0"/>
        <w:jc w:val="left"/>
        <w:rPr>
          <w:rFonts w:cs="Times New Roman"/>
        </w:rPr>
      </w:pPr>
    </w:p>
    <w:p w:rsidR="00E51C7A" w:rsidRDefault="000C7921">
      <w:pPr>
        <w:widowControl w:val="0"/>
        <w:jc w:val="left"/>
        <w:rPr>
          <w:rFonts w:cs="Times New Roman"/>
          <w:b/>
        </w:rPr>
      </w:pPr>
      <w:r>
        <w:rPr>
          <w:rFonts w:cs="Times New Roman"/>
          <w:b/>
        </w:rPr>
        <w:t>S. 248</w:t>
      </w:r>
    </w:p>
    <w:p w:rsidR="00E51C7A" w:rsidRDefault="00E51C7A">
      <w:pPr>
        <w:widowControl w:val="0"/>
        <w:jc w:val="left"/>
        <w:rPr>
          <w:rFonts w:cs="Times New Roman"/>
          <w:b/>
        </w:rPr>
      </w:pPr>
    </w:p>
    <w:p w:rsidR="00E51C7A" w:rsidRDefault="000C7921">
      <w:pPr>
        <w:widowControl w:val="0"/>
        <w:jc w:val="left"/>
        <w:rPr>
          <w:rFonts w:cs="Times New Roman"/>
        </w:rPr>
      </w:pPr>
      <w:r>
        <w:rPr>
          <w:rFonts w:cs="Times New Roman"/>
          <w:b/>
        </w:rPr>
        <w:t>STATUS INFORMATION</w:t>
      </w:r>
    </w:p>
    <w:p w:rsidR="00E51C7A" w:rsidRDefault="00E51C7A">
      <w:pPr>
        <w:widowControl w:val="0"/>
        <w:jc w:val="left"/>
        <w:rPr>
          <w:rFonts w:cs="Times New Roman"/>
        </w:rPr>
      </w:pPr>
    </w:p>
    <w:p w:rsidR="00E51C7A" w:rsidRDefault="000C7921">
      <w:pPr>
        <w:widowControl w:val="0"/>
        <w:jc w:val="left"/>
        <w:rPr>
          <w:rFonts w:cs="Times New Roman"/>
        </w:rPr>
      </w:pPr>
      <w:r>
        <w:rPr>
          <w:rFonts w:cs="Times New Roman"/>
        </w:rPr>
        <w:t>General Bill</w:t>
      </w:r>
    </w:p>
    <w:p w:rsidR="00E51C7A" w:rsidRDefault="000C7921">
      <w:pPr>
        <w:widowControl w:val="0"/>
        <w:jc w:val="left"/>
        <w:rPr>
          <w:rFonts w:cs="Times New Roman"/>
        </w:rPr>
      </w:pPr>
      <w:r>
        <w:rPr>
          <w:rFonts w:cs="Times New Roman"/>
        </w:rPr>
        <w:t>Sponsors: Senators L. Martin, Shoopman, Fair, Verdin, Thomas, Lourie, Williams and Alexander</w:t>
      </w:r>
    </w:p>
    <w:p w:rsidR="00E51C7A" w:rsidRDefault="000C7921">
      <w:pPr>
        <w:widowControl w:val="0"/>
        <w:jc w:val="left"/>
        <w:rPr>
          <w:rFonts w:cs="Times New Roman"/>
        </w:rPr>
      </w:pPr>
      <w:r>
        <w:rPr>
          <w:rFonts w:cs="Times New Roman"/>
        </w:rPr>
        <w:t>Document Path: l:\council\bills\ms\7121ahb09.docx</w:t>
      </w:r>
    </w:p>
    <w:p w:rsidR="00E51C7A" w:rsidRDefault="000C7921">
      <w:pPr>
        <w:widowControl w:val="0"/>
        <w:jc w:val="left"/>
        <w:rPr>
          <w:rFonts w:cs="Times New Roman"/>
        </w:rPr>
      </w:pPr>
      <w:r>
        <w:rPr>
          <w:rFonts w:cs="Times New Roman"/>
        </w:rPr>
        <w:t>Companion/Similar bill(s): 3164</w:t>
      </w:r>
    </w:p>
    <w:p w:rsidR="00E51C7A" w:rsidRDefault="00E51C7A">
      <w:pPr>
        <w:widowControl w:val="0"/>
        <w:jc w:val="left"/>
        <w:rPr>
          <w:rFonts w:cs="Times New Roman"/>
        </w:rPr>
      </w:pPr>
    </w:p>
    <w:p w:rsidR="000C7921" w:rsidRDefault="000C7921">
      <w:pPr>
        <w:widowControl w:val="0"/>
        <w:jc w:val="left"/>
        <w:rPr>
          <w:rFonts w:cs="Times New Roman"/>
        </w:rPr>
      </w:pPr>
      <w:r>
        <w:rPr>
          <w:rFonts w:cs="Times New Roman"/>
        </w:rPr>
        <w:t>Introduced in the Senate on January 13, 2009</w:t>
      </w:r>
    </w:p>
    <w:p w:rsidR="000C7921" w:rsidRDefault="000C7921">
      <w:pPr>
        <w:widowControl w:val="0"/>
        <w:jc w:val="left"/>
        <w:rPr>
          <w:rFonts w:cs="Times New Roman"/>
        </w:rPr>
      </w:pPr>
      <w:r>
        <w:rPr>
          <w:rFonts w:cs="Times New Roman"/>
        </w:rPr>
        <w:t>Introduced in the House on May 12, 2009</w:t>
      </w:r>
    </w:p>
    <w:p w:rsidR="000C7921" w:rsidRDefault="000C7921">
      <w:pPr>
        <w:widowControl w:val="0"/>
        <w:jc w:val="left"/>
        <w:rPr>
          <w:rFonts w:cs="Times New Roman"/>
        </w:rPr>
      </w:pPr>
      <w:r>
        <w:rPr>
          <w:rFonts w:cs="Times New Roman"/>
        </w:rPr>
        <w:t>Last Amended on April 30, 2009</w:t>
      </w:r>
    </w:p>
    <w:p w:rsidR="000C7921" w:rsidRPr="000C7921" w:rsidRDefault="000C7921">
      <w:pPr>
        <w:widowControl w:val="0"/>
        <w:jc w:val="left"/>
        <w:rPr>
          <w:rFonts w:cs="Times New Roman"/>
        </w:rPr>
      </w:pPr>
      <w:r>
        <w:rPr>
          <w:rFonts w:cs="Times New Roman"/>
        </w:rPr>
        <w:t xml:space="preserve">Currently residing in the House Committee on </w:t>
      </w:r>
      <w:r w:rsidRPr="000C7921">
        <w:rPr>
          <w:rFonts w:cs="Times New Roman"/>
          <w:b/>
        </w:rPr>
        <w:t>Judiciary</w:t>
      </w:r>
    </w:p>
    <w:p w:rsidR="000C7921" w:rsidRDefault="000C7921">
      <w:pPr>
        <w:widowControl w:val="0"/>
        <w:jc w:val="left"/>
        <w:rPr>
          <w:rFonts w:cs="Times New Roman"/>
        </w:rPr>
      </w:pPr>
    </w:p>
    <w:p w:rsidR="00E51C7A" w:rsidRDefault="000C7921">
      <w:pPr>
        <w:widowControl w:val="0"/>
        <w:jc w:val="left"/>
        <w:rPr>
          <w:rFonts w:cs="Times New Roman"/>
        </w:rPr>
      </w:pPr>
      <w:r>
        <w:rPr>
          <w:rFonts w:cs="Times New Roman"/>
        </w:rPr>
        <w:t>Summary: Underage drinking</w:t>
      </w:r>
    </w:p>
    <w:p w:rsidR="00E51C7A" w:rsidRDefault="00E51C7A">
      <w:pPr>
        <w:widowControl w:val="0"/>
        <w:jc w:val="left"/>
        <w:rPr>
          <w:rFonts w:cs="Times New Roman"/>
        </w:rPr>
      </w:pPr>
    </w:p>
    <w:p w:rsidR="00E51C7A" w:rsidRDefault="00E51C7A">
      <w:pPr>
        <w:widowControl w:val="0"/>
        <w:jc w:val="left"/>
        <w:rPr>
          <w:rFonts w:cs="Times New Roman"/>
        </w:rPr>
      </w:pPr>
    </w:p>
    <w:p w:rsidR="00E51C7A" w:rsidRDefault="000C792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E51C7A" w:rsidRDefault="00E51C7A">
      <w:pPr>
        <w:widowControl w:val="0"/>
        <w:tabs>
          <w:tab w:val="center" w:pos="590"/>
          <w:tab w:val="center" w:pos="1440"/>
          <w:tab w:val="left" w:pos="1872"/>
          <w:tab w:val="left" w:pos="9187"/>
        </w:tabs>
        <w:jc w:val="left"/>
        <w:rPr>
          <w:rFonts w:cs="Times New Roman"/>
        </w:rPr>
      </w:pPr>
    </w:p>
    <w:p w:rsidR="00E51C7A" w:rsidRDefault="000C792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1/13/2009</w:t>
      </w:r>
      <w:r>
        <w:rPr>
          <w:rFonts w:cs="Times New Roman"/>
        </w:rPr>
        <w:tab/>
        <w:t>Senate</w:t>
      </w:r>
      <w:r>
        <w:rPr>
          <w:rFonts w:cs="Times New Roman"/>
        </w:rPr>
        <w:tab/>
      </w:r>
      <w:r w:rsidRPr="00B94450">
        <w:rPr>
          <w:rFonts w:cs="Times New Roman"/>
        </w:rPr>
        <w:t xml:space="preserve">Introduced and read first time </w:t>
      </w:r>
      <w:hyperlink r:id="rId6" w:history="1">
        <w:r w:rsidRPr="00042B79">
          <w:rPr>
            <w:rStyle w:val="Hyperlink"/>
            <w:rFonts w:cs="Times New Roman"/>
          </w:rPr>
          <w:t>SJ</w:t>
        </w:r>
      </w:hyperlink>
      <w:r>
        <w:rPr>
          <w:rFonts w:cs="Times New Roman"/>
        </w:rPr>
        <w:noBreakHyphen/>
      </w:r>
      <w:r w:rsidRPr="00B94450">
        <w:rPr>
          <w:rFonts w:cs="Times New Roman"/>
        </w:rPr>
        <w:t>195</w:t>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1/13/2009</w:t>
      </w:r>
      <w:r>
        <w:rPr>
          <w:rFonts w:cs="Times New Roman"/>
        </w:rPr>
        <w:tab/>
        <w:t>Senate</w:t>
      </w:r>
      <w:r>
        <w:rPr>
          <w:rFonts w:cs="Times New Roman"/>
        </w:rPr>
        <w:tab/>
      </w:r>
      <w:r w:rsidRPr="00B94450">
        <w:rPr>
          <w:rFonts w:cs="Times New Roman"/>
        </w:rPr>
        <w:t xml:space="preserve">Referred to Committee on </w:t>
      </w:r>
      <w:r w:rsidRPr="00B94450">
        <w:rPr>
          <w:rFonts w:cs="Times New Roman"/>
          <w:b/>
        </w:rPr>
        <w:t>Judiciary</w:t>
      </w:r>
      <w:r w:rsidRPr="00B94450">
        <w:rPr>
          <w:rFonts w:cs="Times New Roman"/>
        </w:rPr>
        <w:t xml:space="preserve"> </w:t>
      </w:r>
      <w:hyperlink r:id="rId7" w:history="1">
        <w:r w:rsidRPr="00042B79">
          <w:rPr>
            <w:rStyle w:val="Hyperlink"/>
            <w:rFonts w:cs="Times New Roman"/>
          </w:rPr>
          <w:t>SJ</w:t>
        </w:r>
      </w:hyperlink>
      <w:r>
        <w:rPr>
          <w:rFonts w:cs="Times New Roman"/>
        </w:rPr>
        <w:noBreakHyphen/>
      </w:r>
      <w:r w:rsidRPr="00B94450">
        <w:rPr>
          <w:rFonts w:cs="Times New Roman"/>
        </w:rPr>
        <w:t>195</w:t>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1/23/2009</w:t>
      </w:r>
      <w:r>
        <w:rPr>
          <w:rFonts w:cs="Times New Roman"/>
        </w:rPr>
        <w:tab/>
        <w:t>Senate</w:t>
      </w:r>
      <w:r>
        <w:rPr>
          <w:rFonts w:cs="Times New Roman"/>
        </w:rPr>
        <w:tab/>
      </w:r>
      <w:r w:rsidRPr="00B94450">
        <w:rPr>
          <w:rFonts w:cs="Times New Roman"/>
        </w:rPr>
        <w:t>Referred to Subcommittee: Hutto (ch), Rose, Shoopman</w:t>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4/22/2009</w:t>
      </w:r>
      <w:r>
        <w:rPr>
          <w:rFonts w:cs="Times New Roman"/>
        </w:rPr>
        <w:tab/>
        <w:t>Senate</w:t>
      </w:r>
      <w:r>
        <w:rPr>
          <w:rFonts w:cs="Times New Roman"/>
        </w:rPr>
        <w:tab/>
      </w:r>
      <w:r w:rsidRPr="00B94450">
        <w:rPr>
          <w:rFonts w:cs="Times New Roman"/>
        </w:rPr>
        <w:t>Committee r</w:t>
      </w:r>
      <w:r>
        <w:rPr>
          <w:rFonts w:cs="Times New Roman"/>
        </w:rPr>
        <w:t xml:space="preserve">eport: Favorable with amendment </w:t>
      </w:r>
      <w:r w:rsidRPr="00B94450">
        <w:rPr>
          <w:rFonts w:cs="Times New Roman"/>
          <w:b/>
        </w:rPr>
        <w:t>Judiciary</w:t>
      </w:r>
      <w:r w:rsidRPr="00B94450">
        <w:rPr>
          <w:rFonts w:cs="Times New Roman"/>
        </w:rPr>
        <w:t xml:space="preserve"> </w:t>
      </w:r>
      <w:hyperlink r:id="rId8" w:history="1">
        <w:r w:rsidRPr="00042B79">
          <w:rPr>
            <w:rStyle w:val="Hyperlink"/>
            <w:rFonts w:cs="Times New Roman"/>
          </w:rPr>
          <w:t>SJ</w:t>
        </w:r>
      </w:hyperlink>
      <w:r>
        <w:rPr>
          <w:rFonts w:cs="Times New Roman"/>
        </w:rPr>
        <w:noBreakHyphen/>
      </w:r>
      <w:r w:rsidRPr="00B94450">
        <w:rPr>
          <w:rFonts w:cs="Times New Roman"/>
        </w:rPr>
        <w:t>6</w:t>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4/23/2009</w:t>
      </w:r>
      <w:r>
        <w:rPr>
          <w:rFonts w:cs="Times New Roman"/>
        </w:rPr>
        <w:tab/>
      </w:r>
      <w:r>
        <w:rPr>
          <w:rFonts w:cs="Times New Roman"/>
        </w:rPr>
        <w:tab/>
      </w:r>
      <w:r w:rsidRPr="00B94450">
        <w:rPr>
          <w:rFonts w:cs="Times New Roman"/>
        </w:rPr>
        <w:t>Scrivener's error corrected</w:t>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4/29/2009</w:t>
      </w:r>
      <w:r>
        <w:rPr>
          <w:rFonts w:cs="Times New Roman"/>
        </w:rPr>
        <w:tab/>
        <w:t>Senate</w:t>
      </w:r>
      <w:r>
        <w:rPr>
          <w:rFonts w:cs="Times New Roman"/>
        </w:rPr>
        <w:tab/>
      </w:r>
      <w:r w:rsidRPr="00B94450">
        <w:rPr>
          <w:rFonts w:cs="Times New Roman"/>
        </w:rPr>
        <w:t xml:space="preserve">Amended </w:t>
      </w:r>
      <w:hyperlink r:id="rId9" w:history="1">
        <w:r w:rsidRPr="00042B79">
          <w:rPr>
            <w:rStyle w:val="Hyperlink"/>
            <w:rFonts w:cs="Times New Roman"/>
          </w:rPr>
          <w:t>SJ</w:t>
        </w:r>
      </w:hyperlink>
      <w:r>
        <w:rPr>
          <w:rFonts w:cs="Times New Roman"/>
        </w:rPr>
        <w:noBreakHyphen/>
      </w:r>
      <w:r w:rsidRPr="00B94450">
        <w:rPr>
          <w:rFonts w:cs="Times New Roman"/>
        </w:rPr>
        <w:t>38</w:t>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4/30/2009</w:t>
      </w:r>
      <w:r>
        <w:rPr>
          <w:rFonts w:cs="Times New Roman"/>
        </w:rPr>
        <w:tab/>
        <w:t>Senate</w:t>
      </w:r>
      <w:r>
        <w:rPr>
          <w:rFonts w:cs="Times New Roman"/>
        </w:rPr>
        <w:tab/>
      </w:r>
      <w:r w:rsidRPr="00B94450">
        <w:rPr>
          <w:rFonts w:cs="Times New Roman"/>
        </w:rPr>
        <w:t xml:space="preserve">Amended </w:t>
      </w:r>
      <w:hyperlink r:id="rId10" w:history="1">
        <w:r w:rsidRPr="00042B79">
          <w:rPr>
            <w:rStyle w:val="Hyperlink"/>
            <w:rFonts w:cs="Times New Roman"/>
          </w:rPr>
          <w:t>SJ</w:t>
        </w:r>
      </w:hyperlink>
      <w:r>
        <w:rPr>
          <w:rFonts w:cs="Times New Roman"/>
        </w:rPr>
        <w:noBreakHyphen/>
      </w:r>
      <w:r w:rsidRPr="00B94450">
        <w:rPr>
          <w:rFonts w:cs="Times New Roman"/>
        </w:rPr>
        <w:t>34</w:t>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4/30/2009</w:t>
      </w:r>
      <w:r>
        <w:rPr>
          <w:rFonts w:cs="Times New Roman"/>
        </w:rPr>
        <w:tab/>
        <w:t>Senate</w:t>
      </w:r>
      <w:r>
        <w:rPr>
          <w:rFonts w:cs="Times New Roman"/>
        </w:rPr>
        <w:tab/>
      </w:r>
      <w:r w:rsidRPr="00B94450">
        <w:rPr>
          <w:rFonts w:cs="Times New Roman"/>
        </w:rPr>
        <w:t xml:space="preserve">Read second time </w:t>
      </w:r>
      <w:hyperlink r:id="rId11" w:history="1">
        <w:r w:rsidRPr="00042B79">
          <w:rPr>
            <w:rStyle w:val="Hyperlink"/>
            <w:rFonts w:cs="Times New Roman"/>
          </w:rPr>
          <w:t>SJ</w:t>
        </w:r>
      </w:hyperlink>
      <w:r>
        <w:rPr>
          <w:rFonts w:cs="Times New Roman"/>
        </w:rPr>
        <w:noBreakHyphen/>
      </w:r>
      <w:r w:rsidRPr="00B94450">
        <w:rPr>
          <w:rFonts w:cs="Times New Roman"/>
        </w:rPr>
        <w:t>34</w:t>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4/30/2009</w:t>
      </w:r>
      <w:r>
        <w:rPr>
          <w:rFonts w:cs="Times New Roman"/>
        </w:rPr>
        <w:tab/>
        <w:t>Senate</w:t>
      </w:r>
      <w:r>
        <w:rPr>
          <w:rFonts w:cs="Times New Roman"/>
        </w:rPr>
        <w:tab/>
      </w:r>
      <w:r w:rsidRPr="00B94450">
        <w:rPr>
          <w:rFonts w:cs="Times New Roman"/>
        </w:rPr>
        <w:t>Unanimous co</w:t>
      </w:r>
      <w:r>
        <w:rPr>
          <w:rFonts w:cs="Times New Roman"/>
        </w:rPr>
        <w:t xml:space="preserve">nsent for third reading on next </w:t>
      </w:r>
      <w:r w:rsidRPr="00B94450">
        <w:rPr>
          <w:rFonts w:cs="Times New Roman"/>
        </w:rPr>
        <w:t xml:space="preserve">legislative day </w:t>
      </w:r>
      <w:hyperlink r:id="rId12" w:history="1">
        <w:r w:rsidRPr="00042B79">
          <w:rPr>
            <w:rStyle w:val="Hyperlink"/>
            <w:rFonts w:cs="Times New Roman"/>
          </w:rPr>
          <w:t>SJ</w:t>
        </w:r>
      </w:hyperlink>
      <w:r>
        <w:rPr>
          <w:rFonts w:cs="Times New Roman"/>
        </w:rPr>
        <w:noBreakHyphen/>
      </w:r>
      <w:r w:rsidRPr="00B94450">
        <w:rPr>
          <w:rFonts w:cs="Times New Roman"/>
        </w:rPr>
        <w:t>34</w:t>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5/1/2009</w:t>
      </w:r>
      <w:r>
        <w:rPr>
          <w:rFonts w:cs="Times New Roman"/>
        </w:rPr>
        <w:tab/>
      </w:r>
      <w:r>
        <w:rPr>
          <w:rFonts w:cs="Times New Roman"/>
        </w:rPr>
        <w:tab/>
      </w:r>
      <w:r w:rsidRPr="00B94450">
        <w:rPr>
          <w:rFonts w:cs="Times New Roman"/>
        </w:rPr>
        <w:t>Scrivener's error corrected</w:t>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5/1/2009</w:t>
      </w:r>
      <w:r>
        <w:rPr>
          <w:rFonts w:cs="Times New Roman"/>
        </w:rPr>
        <w:tab/>
        <w:t>Senate</w:t>
      </w:r>
      <w:r>
        <w:rPr>
          <w:rFonts w:cs="Times New Roman"/>
        </w:rPr>
        <w:tab/>
      </w:r>
      <w:r w:rsidRPr="00B94450">
        <w:rPr>
          <w:rFonts w:cs="Times New Roman"/>
        </w:rPr>
        <w:t xml:space="preserve">Read third time and sent to House </w:t>
      </w:r>
      <w:hyperlink r:id="rId13" w:history="1">
        <w:r w:rsidRPr="00042B79">
          <w:rPr>
            <w:rStyle w:val="Hyperlink"/>
            <w:rFonts w:cs="Times New Roman"/>
          </w:rPr>
          <w:t>SJ</w:t>
        </w:r>
      </w:hyperlink>
      <w:r>
        <w:rPr>
          <w:rFonts w:cs="Times New Roman"/>
        </w:rPr>
        <w:noBreakHyphen/>
      </w:r>
      <w:r w:rsidRPr="00B94450">
        <w:rPr>
          <w:rFonts w:cs="Times New Roman"/>
        </w:rPr>
        <w:t>2</w:t>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5/12/2009</w:t>
      </w:r>
      <w:r>
        <w:rPr>
          <w:rFonts w:cs="Times New Roman"/>
        </w:rPr>
        <w:tab/>
        <w:t>House</w:t>
      </w:r>
      <w:r>
        <w:rPr>
          <w:rFonts w:cs="Times New Roman"/>
        </w:rPr>
        <w:tab/>
      </w:r>
      <w:r w:rsidRPr="00B94450">
        <w:rPr>
          <w:rFonts w:cs="Times New Roman"/>
        </w:rPr>
        <w:t xml:space="preserve">Introduced and read first time </w:t>
      </w:r>
      <w:hyperlink r:id="rId14" w:history="1">
        <w:r w:rsidRPr="00042B79">
          <w:rPr>
            <w:rStyle w:val="Hyperlink"/>
            <w:rFonts w:cs="Times New Roman"/>
          </w:rPr>
          <w:t>HJ</w:t>
        </w:r>
      </w:hyperlink>
      <w:r>
        <w:rPr>
          <w:rFonts w:cs="Times New Roman"/>
        </w:rPr>
        <w:noBreakHyphen/>
      </w:r>
      <w:r w:rsidRPr="00B94450">
        <w:rPr>
          <w:rFonts w:cs="Times New Roman"/>
        </w:rPr>
        <w:t>10</w:t>
      </w:r>
    </w:p>
    <w:p w:rsidR="00EF081F" w:rsidRDefault="00EF081F" w:rsidP="00EF081F">
      <w:pPr>
        <w:widowControl w:val="0"/>
        <w:tabs>
          <w:tab w:val="right" w:pos="1008"/>
          <w:tab w:val="left" w:pos="1152"/>
          <w:tab w:val="left" w:pos="1872"/>
          <w:tab w:val="left" w:pos="9187"/>
        </w:tabs>
        <w:ind w:left="2088" w:hanging="2088"/>
        <w:rPr>
          <w:rFonts w:cs="Times New Roman"/>
        </w:rPr>
      </w:pPr>
      <w:r>
        <w:rPr>
          <w:rFonts w:cs="Times New Roman"/>
        </w:rPr>
        <w:tab/>
        <w:t>5/12/2009</w:t>
      </w:r>
      <w:r>
        <w:rPr>
          <w:rFonts w:cs="Times New Roman"/>
        </w:rPr>
        <w:tab/>
        <w:t>House</w:t>
      </w:r>
      <w:r>
        <w:rPr>
          <w:rFonts w:cs="Times New Roman"/>
        </w:rPr>
        <w:tab/>
      </w:r>
      <w:r w:rsidRPr="00B94450">
        <w:rPr>
          <w:rFonts w:cs="Times New Roman"/>
        </w:rPr>
        <w:t xml:space="preserve">Referred to Committee on </w:t>
      </w:r>
      <w:r w:rsidRPr="00B94450">
        <w:rPr>
          <w:rFonts w:cs="Times New Roman"/>
          <w:b/>
        </w:rPr>
        <w:t>Judiciary</w:t>
      </w:r>
      <w:r w:rsidRPr="00B94450">
        <w:rPr>
          <w:rFonts w:cs="Times New Roman"/>
        </w:rPr>
        <w:t xml:space="preserve"> </w:t>
      </w:r>
      <w:hyperlink r:id="rId15" w:history="1">
        <w:r w:rsidRPr="00042B79">
          <w:rPr>
            <w:rStyle w:val="Hyperlink"/>
            <w:rFonts w:cs="Times New Roman"/>
          </w:rPr>
          <w:t>HJ</w:t>
        </w:r>
      </w:hyperlink>
      <w:r>
        <w:rPr>
          <w:rFonts w:cs="Times New Roman"/>
        </w:rPr>
        <w:noBreakHyphen/>
      </w:r>
      <w:r w:rsidRPr="00B94450">
        <w:rPr>
          <w:rFonts w:cs="Times New Roman"/>
        </w:rPr>
        <w:t>10</w:t>
      </w:r>
    </w:p>
    <w:p w:rsidR="00EF081F" w:rsidRDefault="00EF081F" w:rsidP="00EF081F">
      <w:pPr>
        <w:widowControl w:val="0"/>
        <w:tabs>
          <w:tab w:val="right" w:pos="1008"/>
          <w:tab w:val="left" w:pos="1152"/>
          <w:tab w:val="left" w:pos="1872"/>
          <w:tab w:val="left" w:pos="9187"/>
        </w:tabs>
        <w:ind w:left="2088" w:hanging="2088"/>
        <w:rPr>
          <w:rFonts w:cs="Times New Roman"/>
        </w:rPr>
      </w:pPr>
    </w:p>
    <w:p w:rsidR="00E51C7A" w:rsidRDefault="00E51C7A">
      <w:pPr>
        <w:widowControl w:val="0"/>
        <w:tabs>
          <w:tab w:val="right" w:pos="1008"/>
          <w:tab w:val="left" w:pos="1152"/>
          <w:tab w:val="left" w:pos="1872"/>
          <w:tab w:val="left" w:pos="9187"/>
        </w:tabs>
        <w:ind w:left="2088" w:hanging="2088"/>
        <w:jc w:val="left"/>
        <w:rPr>
          <w:rFonts w:cs="Times New Roman"/>
        </w:rPr>
      </w:pPr>
    </w:p>
    <w:p w:rsidR="00E51C7A" w:rsidRDefault="000C7921">
      <w:pPr>
        <w:widowControl w:val="0"/>
        <w:jc w:val="left"/>
        <w:rPr>
          <w:rFonts w:cs="Times New Roman"/>
        </w:rPr>
      </w:pPr>
      <w:r>
        <w:rPr>
          <w:rFonts w:cs="Times New Roman"/>
          <w:b/>
        </w:rPr>
        <w:t>VERSIONS OF THIS BILL</w:t>
      </w:r>
    </w:p>
    <w:p w:rsidR="00E51C7A" w:rsidRDefault="00E51C7A">
      <w:pPr>
        <w:widowControl w:val="0"/>
        <w:jc w:val="left"/>
        <w:rPr>
          <w:rFonts w:cs="Times New Roman"/>
        </w:rPr>
      </w:pPr>
    </w:p>
    <w:p w:rsidR="00E51C7A" w:rsidRDefault="005B2E6E">
      <w:pPr>
        <w:widowControl w:val="0"/>
        <w:jc w:val="left"/>
        <w:rPr>
          <w:rFonts w:cs="Times New Roman"/>
        </w:rPr>
      </w:pPr>
      <w:hyperlink r:id="rId16" w:history="1">
        <w:r w:rsidR="000C7921">
          <w:rPr>
            <w:rStyle w:val="Hyperlink"/>
            <w:rFonts w:cs="Times New Roman"/>
          </w:rPr>
          <w:t>1/13/2009</w:t>
        </w:r>
      </w:hyperlink>
    </w:p>
    <w:p w:rsidR="00E51C7A" w:rsidRDefault="005B2E6E">
      <w:hyperlink r:id="rId17" w:history="1">
        <w:r w:rsidR="000C7921">
          <w:rPr>
            <w:rStyle w:val="Hyperlink"/>
          </w:rPr>
          <w:t>4/22/2009</w:t>
        </w:r>
      </w:hyperlink>
    </w:p>
    <w:p w:rsidR="00E51C7A" w:rsidRDefault="005B2E6E">
      <w:hyperlink r:id="rId18" w:history="1">
        <w:r w:rsidR="000C7921">
          <w:rPr>
            <w:rStyle w:val="Hyperlink"/>
          </w:rPr>
          <w:t>4/23/2009</w:t>
        </w:r>
      </w:hyperlink>
    </w:p>
    <w:p w:rsidR="00E51C7A" w:rsidRDefault="005B2E6E">
      <w:hyperlink r:id="rId19" w:history="1">
        <w:r w:rsidR="000C7921">
          <w:rPr>
            <w:rStyle w:val="Hyperlink"/>
          </w:rPr>
          <w:t>4/29/2009</w:t>
        </w:r>
      </w:hyperlink>
    </w:p>
    <w:p w:rsidR="00E51C7A" w:rsidRDefault="005B2E6E">
      <w:hyperlink r:id="rId20" w:history="1">
        <w:r w:rsidR="000C7921">
          <w:rPr>
            <w:rStyle w:val="Hyperlink"/>
          </w:rPr>
          <w:t>4/30/2009</w:t>
        </w:r>
      </w:hyperlink>
    </w:p>
    <w:p w:rsidR="00E51C7A" w:rsidRDefault="005B2E6E">
      <w:hyperlink r:id="rId21" w:history="1">
        <w:r w:rsidR="000C7921">
          <w:rPr>
            <w:rStyle w:val="Hyperlink"/>
          </w:rPr>
          <w:t>5/1/2009</w:t>
        </w:r>
      </w:hyperlink>
    </w:p>
    <w:p w:rsidR="00E51C7A" w:rsidRDefault="00E51C7A"/>
    <w:p w:rsidR="00E51C7A" w:rsidRDefault="00E51C7A">
      <w:pPr>
        <w:sectPr w:rsidR="00E51C7A">
          <w:pgSz w:w="12240" w:h="15840" w:code="1"/>
          <w:pgMar w:top="1080" w:right="1440" w:bottom="1080" w:left="1440" w:header="720" w:footer="720" w:gutter="0"/>
          <w:cols w:space="720"/>
          <w:noEndnote/>
          <w:docGrid w:linePitch="360"/>
        </w:sectPr>
      </w:pPr>
    </w:p>
    <w:p w:rsidR="00E51C7A" w:rsidRDefault="000C79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lastRenderedPageBreak/>
        <w:t>AMENDED</w:t>
      </w:r>
    </w:p>
    <w:p w:rsidR="00E51C7A" w:rsidRDefault="000C79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30, 2009</w:t>
      </w:r>
    </w:p>
    <w:p w:rsidR="00E51C7A" w:rsidRDefault="00E51C7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51C7A" w:rsidRDefault="000C7921">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248</w:t>
      </w:r>
    </w:p>
    <w:p w:rsidR="00E51C7A" w:rsidRDefault="00E51C7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51C7A" w:rsidRDefault="000C79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L. Martin, Shoopman, Fair, Verdin, Thomas, Lourie, Williams and Alexander</w:t>
      </w:r>
    </w:p>
    <w:p w:rsidR="00E51C7A" w:rsidRDefault="00E51C7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51C7A" w:rsidRDefault="000C7921">
      <w:pPr>
        <w:tabs>
          <w:tab w:val="right" w:pos="5933"/>
        </w:tabs>
        <w:suppressAutoHyphens/>
        <w:rPr>
          <w:rFonts w:eastAsia="Times New Roman" w:cs="Times New Roman"/>
          <w:szCs w:val="20"/>
        </w:rPr>
      </w:pPr>
      <w:r>
        <w:rPr>
          <w:rFonts w:eastAsia="Times New Roman" w:cs="Times New Roman"/>
          <w:szCs w:val="20"/>
        </w:rPr>
        <w:t>S. Printed 4/30/09--S.</w:t>
      </w:r>
      <w:r>
        <w:rPr>
          <w:rFonts w:eastAsia="Times New Roman" w:cs="Times New Roman"/>
          <w:szCs w:val="20"/>
        </w:rPr>
        <w:tab/>
        <w:t>[SEC 5/1/09 9:54 AM]</w:t>
      </w:r>
    </w:p>
    <w:p w:rsidR="00E51C7A" w:rsidRDefault="000C79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E51C7A" w:rsidRDefault="000C792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E51C7A" w:rsidRDefault="00E51C7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E51C7A">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E51C7A" w:rsidRDefault="00E51C7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51C7A" w:rsidRDefault="00E51C7A">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61</w:t>
      </w:r>
      <w:r>
        <w:rPr>
          <w:rFonts w:eastAsia="Times New Roman" w:cs="Times New Roman"/>
          <w:szCs w:val="20"/>
        </w:rPr>
        <w:noBreakHyphen/>
        <w:t>4</w:t>
      </w:r>
      <w:r>
        <w:rPr>
          <w:rFonts w:eastAsia="Times New Roman" w:cs="Times New Roman"/>
          <w:szCs w:val="20"/>
        </w:rPr>
        <w:noBreakHyphen/>
        <w:t>95 SO AS TO CREATE THE OFFENSE OF UNLAWFULLY PROVIDING BEER OR WINE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 AND BY ADDING SECTION 61</w:t>
      </w:r>
      <w:r>
        <w:rPr>
          <w:rFonts w:eastAsia="Times New Roman" w:cs="Times New Roman"/>
          <w:szCs w:val="20"/>
        </w:rPr>
        <w:noBreakHyphen/>
        <w:t>6</w:t>
      </w:r>
      <w:r>
        <w:rPr>
          <w:rFonts w:eastAsia="Times New Roman" w:cs="Times New Roman"/>
          <w:szCs w:val="20"/>
        </w:rPr>
        <w:noBreakHyphen/>
        <w:t>4083 SO AS TO CREATE THE OFFENSE OF UNLAWFULLY PROVIDING ALCOHOLIC LIQUORS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w:t>
      </w: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r>
        <w:rPr>
          <w:rFonts w:eastAsia="Times New Roman" w:cs="Times New Roman"/>
          <w:szCs w:val="20"/>
        </w:rPr>
        <w:tab/>
        <w:t>Amend Title To Conform</w:t>
      </w: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4, Title 61 of the 1976 Code is amended by adding:</w:t>
      </w: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95.</w:t>
      </w:r>
      <w:r>
        <w:rPr>
          <w:rFonts w:eastAsia="Times New Roman" w:cs="Times New Roman"/>
          <w:szCs w:val="20"/>
        </w:rPr>
        <w:tab/>
        <w:t>(A)</w:t>
      </w:r>
      <w:r>
        <w:rPr>
          <w:rFonts w:eastAsia="Times New Roman" w:cs="Times New Roman"/>
          <w:szCs w:val="20"/>
        </w:rPr>
        <w:tab/>
        <w:t>A person twenty</w:t>
      </w:r>
      <w:r>
        <w:rPr>
          <w:rFonts w:eastAsia="Times New Roman" w:cs="Times New Roman"/>
          <w:szCs w:val="20"/>
        </w:rPr>
        <w:noBreakHyphen/>
        <w:t>one years of age or older who knowingly and unlawfully sells to, transfers to, distributes to, or purchases beer or wine for consumption by a person under the age of twenty</w:t>
      </w:r>
      <w:r>
        <w:rPr>
          <w:rFonts w:eastAsia="Times New Roman" w:cs="Times New Roman"/>
          <w:szCs w:val="20"/>
        </w:rPr>
        <w:noBreakHyphen/>
        <w:t>one pursuant to the prohibitions provided in Section 61</w:t>
      </w:r>
      <w:r>
        <w:rPr>
          <w:rFonts w:eastAsia="Times New Roman" w:cs="Times New Roman"/>
          <w:szCs w:val="20"/>
        </w:rPr>
        <w:noBreakHyphen/>
        <w:t>4</w:t>
      </w:r>
      <w:r>
        <w:rPr>
          <w:rFonts w:eastAsia="Times New Roman" w:cs="Times New Roman"/>
          <w:szCs w:val="20"/>
        </w:rPr>
        <w:noBreakHyphen/>
        <w:t>50, 61</w:t>
      </w:r>
      <w:r>
        <w:rPr>
          <w:rFonts w:eastAsia="Times New Roman" w:cs="Times New Roman"/>
          <w:szCs w:val="20"/>
        </w:rPr>
        <w:noBreakHyphen/>
        <w:t>4</w:t>
      </w:r>
      <w:r>
        <w:rPr>
          <w:rFonts w:eastAsia="Times New Roman" w:cs="Times New Roman"/>
          <w:szCs w:val="20"/>
        </w:rPr>
        <w:noBreakHyphen/>
        <w:t>80, or 61</w:t>
      </w:r>
      <w:r>
        <w:rPr>
          <w:rFonts w:eastAsia="Times New Roman" w:cs="Times New Roman"/>
          <w:szCs w:val="20"/>
        </w:rPr>
        <w:noBreakHyphen/>
        <w:t>4</w:t>
      </w:r>
      <w:r>
        <w:rPr>
          <w:rFonts w:eastAsia="Times New Roman" w:cs="Times New Roman"/>
          <w:szCs w:val="20"/>
        </w:rPr>
        <w:noBreakHyphen/>
        <w:t>90, and that sale, transfer, distribution, or purchase is the proximate cause of great bodily injury to or the death of the person under the age of twenty</w:t>
      </w:r>
      <w:r>
        <w:rPr>
          <w:rFonts w:eastAsia="Times New Roman" w:cs="Times New Roman"/>
          <w:szCs w:val="20"/>
        </w:rPr>
        <w:noBreakHyphen/>
        <w:t>one or another person, is guilty of a felony and, upon conviction, must be fined not more than five thousand dollars or imprisoned for not more than five years, or both.</w:t>
      </w: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person under the age of twenty</w:t>
      </w:r>
      <w:r>
        <w:rPr>
          <w:rFonts w:eastAsia="Times New Roman" w:cs="Times New Roman"/>
          <w:szCs w:val="20"/>
        </w:rPr>
        <w:noBreakHyphen/>
        <w:t>one who knowingly and unlawfully sells to, transfers to, distributes to, or purchases beer or wine for consumption by a person under the age of twenty</w:t>
      </w:r>
      <w:r>
        <w:rPr>
          <w:rFonts w:eastAsia="Times New Roman" w:cs="Times New Roman"/>
          <w:szCs w:val="20"/>
        </w:rPr>
        <w:noBreakHyphen/>
        <w:t>one pursuant to the prohibitions provided in Section 61</w:t>
      </w:r>
      <w:r>
        <w:rPr>
          <w:rFonts w:eastAsia="Times New Roman" w:cs="Times New Roman"/>
          <w:szCs w:val="20"/>
        </w:rPr>
        <w:noBreakHyphen/>
        <w:t>4</w:t>
      </w:r>
      <w:r>
        <w:rPr>
          <w:rFonts w:eastAsia="Times New Roman" w:cs="Times New Roman"/>
          <w:szCs w:val="20"/>
        </w:rPr>
        <w:noBreakHyphen/>
        <w:t>50, 61</w:t>
      </w:r>
      <w:r>
        <w:rPr>
          <w:rFonts w:eastAsia="Times New Roman" w:cs="Times New Roman"/>
          <w:szCs w:val="20"/>
        </w:rPr>
        <w:noBreakHyphen/>
        <w:t>4</w:t>
      </w:r>
      <w:r>
        <w:rPr>
          <w:rFonts w:eastAsia="Times New Roman" w:cs="Times New Roman"/>
          <w:szCs w:val="20"/>
        </w:rPr>
        <w:noBreakHyphen/>
        <w:t>80, or 61</w:t>
      </w:r>
      <w:r>
        <w:rPr>
          <w:rFonts w:eastAsia="Times New Roman" w:cs="Times New Roman"/>
          <w:szCs w:val="20"/>
        </w:rPr>
        <w:noBreakHyphen/>
        <w:t>4</w:t>
      </w:r>
      <w:r>
        <w:rPr>
          <w:rFonts w:eastAsia="Times New Roman" w:cs="Times New Roman"/>
          <w:szCs w:val="20"/>
        </w:rPr>
        <w:noBreakHyphen/>
        <w:t>90, and that sale, transfer, distribution, or purchase is the proximate cause of great bodily injury to or the death of the person under the age of twenty</w:t>
      </w:r>
      <w:r>
        <w:rPr>
          <w:rFonts w:eastAsia="Times New Roman" w:cs="Times New Roman"/>
          <w:szCs w:val="20"/>
        </w:rPr>
        <w:noBreakHyphen/>
        <w:t>one or another person, is guilty of a:</w:t>
      </w: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misdemeanor and, upon conviction, must be fined not more than one thousand dollars or imprisoned for not more than three years, or both, when great bodily injury results; or</w:t>
      </w: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felony and, upon conviction, must be fined not more than five thousand dollars or imprisoned for not more than five years, or both, when death results. </w:t>
      </w: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Failure of a person who sells beer or wine to require identification to verify a person’s age is prima facie evidence of a violation of this section.</w:t>
      </w: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provisions of this section do not apply to a person who is permitted to transfer or distribute beer or wine to a person under the age of twenty</w:t>
      </w:r>
      <w:r>
        <w:rPr>
          <w:rFonts w:eastAsia="Times New Roman" w:cs="Times New Roman"/>
          <w:szCs w:val="20"/>
        </w:rPr>
        <w:noBreakHyphen/>
        <w:t>one pursuant to Section 61</w:t>
      </w:r>
      <w:r>
        <w:rPr>
          <w:rFonts w:eastAsia="Times New Roman" w:cs="Times New Roman"/>
          <w:szCs w:val="20"/>
        </w:rPr>
        <w:noBreakHyphen/>
        <w:t>4</w:t>
      </w:r>
      <w:r>
        <w:rPr>
          <w:rFonts w:eastAsia="Times New Roman" w:cs="Times New Roman"/>
          <w:szCs w:val="20"/>
        </w:rPr>
        <w:noBreakHyphen/>
        <w:t>90.”</w:t>
      </w: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13, Chapter 6, Title 61 of the 1976 Code is amended by adding:</w:t>
      </w: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4083.</w:t>
      </w:r>
      <w:r>
        <w:rPr>
          <w:rFonts w:eastAsia="Times New Roman" w:cs="Times New Roman"/>
          <w:szCs w:val="20"/>
        </w:rPr>
        <w:tab/>
        <w:t>(A)</w:t>
      </w:r>
      <w:r>
        <w:rPr>
          <w:rFonts w:eastAsia="Times New Roman" w:cs="Times New Roman"/>
          <w:szCs w:val="20"/>
        </w:rPr>
        <w:tab/>
        <w:t>A person twenty</w:t>
      </w:r>
      <w:r>
        <w:rPr>
          <w:rFonts w:eastAsia="Times New Roman" w:cs="Times New Roman"/>
          <w:szCs w:val="20"/>
        </w:rPr>
        <w:noBreakHyphen/>
        <w:t>one years of age or older who knowingly and unlawfully sells to, transfers to, distributes to, or purchases alcoholic liquors for consumption by a person under the age of twenty</w:t>
      </w:r>
      <w:r>
        <w:rPr>
          <w:rFonts w:eastAsia="Times New Roman" w:cs="Times New Roman"/>
          <w:szCs w:val="20"/>
        </w:rPr>
        <w:noBreakHyphen/>
        <w:t>one pursuant to the prohibitions provided in Section 61</w:t>
      </w:r>
      <w:r>
        <w:rPr>
          <w:rFonts w:eastAsia="Times New Roman" w:cs="Times New Roman"/>
          <w:szCs w:val="20"/>
        </w:rPr>
        <w:noBreakHyphen/>
        <w:t>6</w:t>
      </w:r>
      <w:r>
        <w:rPr>
          <w:rFonts w:eastAsia="Times New Roman" w:cs="Times New Roman"/>
          <w:szCs w:val="20"/>
        </w:rPr>
        <w:noBreakHyphen/>
        <w:t>4070, 61</w:t>
      </w:r>
      <w:r>
        <w:rPr>
          <w:rFonts w:eastAsia="Times New Roman" w:cs="Times New Roman"/>
          <w:szCs w:val="20"/>
        </w:rPr>
        <w:noBreakHyphen/>
        <w:t>6</w:t>
      </w:r>
      <w:r>
        <w:rPr>
          <w:rFonts w:eastAsia="Times New Roman" w:cs="Times New Roman"/>
          <w:szCs w:val="20"/>
        </w:rPr>
        <w:noBreakHyphen/>
        <w:t>4075, or 61</w:t>
      </w:r>
      <w:r>
        <w:rPr>
          <w:rFonts w:eastAsia="Times New Roman" w:cs="Times New Roman"/>
          <w:szCs w:val="20"/>
        </w:rPr>
        <w:noBreakHyphen/>
        <w:t>6</w:t>
      </w:r>
      <w:r>
        <w:rPr>
          <w:rFonts w:eastAsia="Times New Roman" w:cs="Times New Roman"/>
          <w:szCs w:val="20"/>
        </w:rPr>
        <w:noBreakHyphen/>
        <w:t>4080, and that sale, transfer, distribution, or purchase is the proximate cause of great bodily injury to or the death of the person under the age of twenty</w:t>
      </w:r>
      <w:r>
        <w:rPr>
          <w:rFonts w:eastAsia="Times New Roman" w:cs="Times New Roman"/>
          <w:szCs w:val="20"/>
        </w:rPr>
        <w:noBreakHyphen/>
        <w:t>one or another person, is guilty of a felony and, upon conviction, must be fined not more than five thousand dollars or imprisoned for not more than five years, or both.</w:t>
      </w: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person under the age of twenty</w:t>
      </w:r>
      <w:r>
        <w:rPr>
          <w:rFonts w:eastAsia="Times New Roman" w:cs="Times New Roman"/>
          <w:szCs w:val="20"/>
        </w:rPr>
        <w:noBreakHyphen/>
        <w:t>one who knowingly and unlawfully sells to, transfers to, distributes to, or purchases alcoholic liquors for consumption by a person under the age of twenty</w:t>
      </w:r>
      <w:r>
        <w:rPr>
          <w:rFonts w:eastAsia="Times New Roman" w:cs="Times New Roman"/>
          <w:szCs w:val="20"/>
        </w:rPr>
        <w:noBreakHyphen/>
        <w:t>one pursuant to the prohibitions provided in Section 61</w:t>
      </w:r>
      <w:r>
        <w:rPr>
          <w:rFonts w:eastAsia="Times New Roman" w:cs="Times New Roman"/>
          <w:szCs w:val="20"/>
        </w:rPr>
        <w:noBreakHyphen/>
        <w:t>6</w:t>
      </w:r>
      <w:r>
        <w:rPr>
          <w:rFonts w:eastAsia="Times New Roman" w:cs="Times New Roman"/>
          <w:szCs w:val="20"/>
        </w:rPr>
        <w:noBreakHyphen/>
        <w:t>4070, 61</w:t>
      </w:r>
      <w:r>
        <w:rPr>
          <w:rFonts w:eastAsia="Times New Roman" w:cs="Times New Roman"/>
          <w:szCs w:val="20"/>
        </w:rPr>
        <w:noBreakHyphen/>
        <w:t>6</w:t>
      </w:r>
      <w:r>
        <w:rPr>
          <w:rFonts w:eastAsia="Times New Roman" w:cs="Times New Roman"/>
          <w:szCs w:val="20"/>
        </w:rPr>
        <w:noBreakHyphen/>
        <w:t>4075, or 61</w:t>
      </w:r>
      <w:r>
        <w:rPr>
          <w:rFonts w:eastAsia="Times New Roman" w:cs="Times New Roman"/>
          <w:szCs w:val="20"/>
        </w:rPr>
        <w:noBreakHyphen/>
        <w:t>6</w:t>
      </w:r>
      <w:r>
        <w:rPr>
          <w:rFonts w:eastAsia="Times New Roman" w:cs="Times New Roman"/>
          <w:szCs w:val="20"/>
        </w:rPr>
        <w:noBreakHyphen/>
        <w:t>4080, and that sale, transfer, distribution, or purchase is the proximate cause of great bodily injury to or the death of the person under the age of twenty</w:t>
      </w:r>
      <w:r>
        <w:rPr>
          <w:rFonts w:eastAsia="Times New Roman" w:cs="Times New Roman"/>
          <w:szCs w:val="20"/>
        </w:rPr>
        <w:noBreakHyphen/>
        <w:t>one or another person, is guilty of a:</w:t>
      </w: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misdemeanor and, upon conviction, must be fined not more than one thousand dollars or imprisoned for not more than three years, or both, when great bodily injury results; or</w:t>
      </w: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felony and, upon conviction, must be fined not more than five thousand dollars or imprisoned for not more than five years, or both, when death results. </w:t>
      </w: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Failure of a person who sells alcoholic liquors to require identification to verify a person’s age is prima facie evidence of a violation of this section.</w:t>
      </w: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provisions of this section do not apply to a person who is permitted to transfer or distribute alcoholic liqours to a person under the age of twenty</w:t>
      </w:r>
      <w:r>
        <w:rPr>
          <w:rFonts w:eastAsia="Times New Roman" w:cs="Times New Roman"/>
          <w:szCs w:val="20"/>
        </w:rPr>
        <w:noBreakHyphen/>
        <w:t>one pursuant to Section 61</w:t>
      </w:r>
      <w:r>
        <w:rPr>
          <w:rFonts w:eastAsia="Times New Roman" w:cs="Times New Roman"/>
          <w:szCs w:val="20"/>
        </w:rPr>
        <w:noBreakHyphen/>
        <w:t>6</w:t>
      </w:r>
      <w:r>
        <w:rPr>
          <w:rFonts w:eastAsia="Times New Roman" w:cs="Times New Roman"/>
          <w:szCs w:val="20"/>
        </w:rPr>
        <w:noBreakHyphen/>
        <w:t>4070.”</w:t>
      </w: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51C7A" w:rsidRDefault="00E5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E51C7A" w:rsidRDefault="000C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E51C7A" w:rsidRDefault="00E51C7A">
      <w:pPr>
        <w:tabs>
          <w:tab w:val="left" w:pos="216"/>
          <w:tab w:val="left" w:pos="432"/>
          <w:tab w:val="left" w:pos="648"/>
          <w:tab w:val="left" w:pos="864"/>
          <w:tab w:val="left" w:pos="1080"/>
          <w:tab w:val="left" w:pos="1296"/>
          <w:tab w:val="right" w:leader="dot" w:pos="5904"/>
        </w:tabs>
        <w:suppressAutoHyphens/>
      </w:pPr>
    </w:p>
    <w:sectPr w:rsidR="00E51C7A" w:rsidSect="00E51C7A">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C7A" w:rsidRDefault="000C7921">
      <w:r>
        <w:separator/>
      </w:r>
    </w:p>
  </w:endnote>
  <w:endnote w:type="continuationSeparator" w:id="0">
    <w:p w:rsidR="00E51C7A" w:rsidRDefault="000C7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2B90D0-3A41-47CA-AEA7-9F5F2DDB844B}"/>
    <w:embedBold r:id="rId2" w:fontKey="{0F19C1F8-04FA-4BC2-AECA-AA37DC6C84C5}"/>
  </w:font>
  <w:font w:name="Calibri">
    <w:panose1 w:val="020F0502020204030204"/>
    <w:charset w:val="00"/>
    <w:family w:val="swiss"/>
    <w:pitch w:val="variable"/>
    <w:sig w:usb0="E10002FF" w:usb1="4000ACFF" w:usb2="00000009" w:usb3="00000000" w:csb0="0000019F" w:csb1="00000000"/>
    <w:embedRegular r:id="rId3" w:fontKey="{63442A51-D22E-4A7C-8639-85A5F93C94A6}"/>
    <w:embedBold r:id="rId4" w:fontKey="{C4D59949-1FB2-449B-BE8B-A23D71D1D9CB}"/>
  </w:font>
  <w:font w:name="Tahoma">
    <w:panose1 w:val="020B0604030504040204"/>
    <w:charset w:val="00"/>
    <w:family w:val="swiss"/>
    <w:pitch w:val="variable"/>
    <w:sig w:usb0="21002A87" w:usb1="80000000" w:usb2="00000008" w:usb3="00000000" w:csb0="000101FF" w:csb1="00000000"/>
    <w:embedRegular r:id="rId5" w:fontKey="{1ACD6416-5F39-4781-A615-E731A1586B5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B167EAE-EEFC-4525-939A-A086E5E0F0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C7A" w:rsidRDefault="000C7921">
    <w:pPr>
      <w:pStyle w:val="Footer"/>
      <w:tabs>
        <w:tab w:val="clear" w:pos="4680"/>
        <w:tab w:val="clear" w:pos="9360"/>
        <w:tab w:val="center" w:pos="2995"/>
      </w:tabs>
      <w:spacing w:before="120"/>
    </w:pPr>
    <w:r>
      <w:t>[248-</w:t>
    </w:r>
    <w:r w:rsidR="005B2E6E">
      <w:fldChar w:fldCharType="begin"/>
    </w:r>
    <w:r w:rsidR="005B2E6E">
      <w:instrText xml:space="preserve"> PAGE  \* MERGEFORMAT </w:instrText>
    </w:r>
    <w:r w:rsidR="005B2E6E">
      <w:fldChar w:fldCharType="separate"/>
    </w:r>
    <w:r w:rsidR="005B2E6E">
      <w:rPr>
        <w:noProof/>
      </w:rPr>
      <w:t>1</w:t>
    </w:r>
    <w:r w:rsidR="005B2E6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C7A" w:rsidRDefault="000C7921">
    <w:pPr>
      <w:pStyle w:val="Footer"/>
      <w:tabs>
        <w:tab w:val="clear" w:pos="4680"/>
        <w:tab w:val="clear" w:pos="9360"/>
        <w:tab w:val="center" w:pos="2995"/>
      </w:tabs>
      <w:spacing w:before="120"/>
    </w:pPr>
    <w:r>
      <w:t>[248]</w:t>
    </w:r>
    <w:r>
      <w:tab/>
    </w:r>
    <w:r w:rsidR="005B2E6E">
      <w:fldChar w:fldCharType="begin"/>
    </w:r>
    <w:r w:rsidR="005B2E6E">
      <w:instrText xml:space="preserve"> </w:instrText>
    </w:r>
    <w:r w:rsidR="005B2E6E">
      <w:instrText xml:space="preserve">PAGE  \* MERGEFORMAT </w:instrText>
    </w:r>
    <w:r w:rsidR="005B2E6E">
      <w:fldChar w:fldCharType="separate"/>
    </w:r>
    <w:r w:rsidR="00EF081F">
      <w:rPr>
        <w:noProof/>
      </w:rPr>
      <w:t>1</w:t>
    </w:r>
    <w:r w:rsidR="005B2E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C7A" w:rsidRDefault="000C7921">
      <w:r>
        <w:separator/>
      </w:r>
    </w:p>
  </w:footnote>
  <w:footnote w:type="continuationSeparator" w:id="0">
    <w:p w:rsidR="00E51C7A" w:rsidRDefault="000C79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E51C7A"/>
    <w:rsid w:val="00003FE9"/>
    <w:rsid w:val="00042B79"/>
    <w:rsid w:val="000C7921"/>
    <w:rsid w:val="005B2E6E"/>
    <w:rsid w:val="008B2E93"/>
    <w:rsid w:val="00924467"/>
    <w:rsid w:val="00BD4217"/>
    <w:rsid w:val="00C965A4"/>
    <w:rsid w:val="00E51C7A"/>
    <w:rsid w:val="00EF081F"/>
    <w:rsid w:val="00F02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CC03A2-6E13-4F8A-8CCA-B30423F1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C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51C7A"/>
    <w:rPr>
      <w:szCs w:val="21"/>
    </w:rPr>
  </w:style>
  <w:style w:type="character" w:customStyle="1" w:styleId="PlainTextChar">
    <w:name w:val="Plain Text Char"/>
    <w:basedOn w:val="DefaultParagraphFont"/>
    <w:link w:val="PlainText"/>
    <w:uiPriority w:val="99"/>
    <w:rsid w:val="00E51C7A"/>
    <w:rPr>
      <w:szCs w:val="21"/>
    </w:rPr>
  </w:style>
  <w:style w:type="paragraph" w:styleId="BodyText">
    <w:name w:val="Body Text"/>
    <w:basedOn w:val="Normal"/>
    <w:link w:val="BodyTextChar"/>
    <w:uiPriority w:val="99"/>
    <w:locked/>
    <w:rsid w:val="00E51C7A"/>
  </w:style>
  <w:style w:type="character" w:customStyle="1" w:styleId="BodyTextChar">
    <w:name w:val="Body Text Char"/>
    <w:basedOn w:val="DefaultParagraphFont"/>
    <w:link w:val="BodyText"/>
    <w:uiPriority w:val="99"/>
    <w:rsid w:val="00E51C7A"/>
  </w:style>
  <w:style w:type="paragraph" w:styleId="BalloonText">
    <w:name w:val="Balloon Text"/>
    <w:next w:val="Normal"/>
    <w:link w:val="BalloonTextChar"/>
    <w:uiPriority w:val="99"/>
    <w:unhideWhenUsed/>
    <w:rsid w:val="00E51C7A"/>
    <w:rPr>
      <w:rFonts w:cs="Tahoma"/>
      <w:szCs w:val="16"/>
    </w:rPr>
  </w:style>
  <w:style w:type="character" w:customStyle="1" w:styleId="BalloonTextChar">
    <w:name w:val="Balloon Text Char"/>
    <w:basedOn w:val="DefaultParagraphFont"/>
    <w:link w:val="BalloonText"/>
    <w:uiPriority w:val="99"/>
    <w:rsid w:val="00E51C7A"/>
    <w:rPr>
      <w:rFonts w:cs="Tahoma"/>
      <w:szCs w:val="16"/>
    </w:rPr>
  </w:style>
  <w:style w:type="paragraph" w:styleId="NormalWeb">
    <w:name w:val="Normal (Web)"/>
    <w:basedOn w:val="Normal"/>
    <w:next w:val="Normal"/>
    <w:semiHidden/>
    <w:locked/>
    <w:rsid w:val="00E51C7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51C7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51C7A"/>
    <w:rPr>
      <w:rFonts w:eastAsia="Times New Roman" w:cs="Times New Roman"/>
      <w:szCs w:val="20"/>
    </w:rPr>
  </w:style>
  <w:style w:type="paragraph" w:styleId="Header">
    <w:name w:val="header"/>
    <w:basedOn w:val="Normal"/>
    <w:link w:val="HeaderChar"/>
    <w:uiPriority w:val="99"/>
    <w:semiHidden/>
    <w:unhideWhenUsed/>
    <w:locked/>
    <w:rsid w:val="00E51C7A"/>
    <w:pPr>
      <w:tabs>
        <w:tab w:val="center" w:pos="4680"/>
        <w:tab w:val="right" w:pos="9360"/>
      </w:tabs>
    </w:pPr>
  </w:style>
  <w:style w:type="character" w:customStyle="1" w:styleId="HeaderChar">
    <w:name w:val="Header Char"/>
    <w:basedOn w:val="DefaultParagraphFont"/>
    <w:link w:val="Header"/>
    <w:uiPriority w:val="99"/>
    <w:semiHidden/>
    <w:rsid w:val="00E51C7A"/>
  </w:style>
  <w:style w:type="character" w:styleId="LineNumber">
    <w:name w:val="line number"/>
    <w:basedOn w:val="DefaultParagraphFont"/>
    <w:uiPriority w:val="99"/>
    <w:semiHidden/>
    <w:unhideWhenUsed/>
    <w:locked/>
    <w:rsid w:val="00E51C7A"/>
  </w:style>
  <w:style w:type="character" w:styleId="Hyperlink">
    <w:name w:val="Hyperlink"/>
    <w:basedOn w:val="DefaultParagraphFont"/>
    <w:uiPriority w:val="99"/>
    <w:unhideWhenUsed/>
    <w:locked/>
    <w:rsid w:val="00E51C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2-09.docx" TargetMode="External"/><Relationship Id="rId13" Type="http://schemas.openxmlformats.org/officeDocument/2006/relationships/hyperlink" Target="file:///h:\SJ%20Archive\2009\05-01-09.docx" TargetMode="External"/><Relationship Id="rId18" Type="http://schemas.openxmlformats.org/officeDocument/2006/relationships/hyperlink" Target="file:///p:\pprever\2009-10\248_20090423.docx" TargetMode="External"/><Relationship Id="rId3" Type="http://schemas.openxmlformats.org/officeDocument/2006/relationships/webSettings" Target="webSettings.xml"/><Relationship Id="rId21" Type="http://schemas.openxmlformats.org/officeDocument/2006/relationships/hyperlink" Target="file:///p:\pprever\2009-10\248_20090501.docx" TargetMode="External"/><Relationship Id="rId7" Type="http://schemas.openxmlformats.org/officeDocument/2006/relationships/hyperlink" Target="file:///h:\SJ%20Archive\2009\01-13-09.docx" TargetMode="External"/><Relationship Id="rId12" Type="http://schemas.openxmlformats.org/officeDocument/2006/relationships/hyperlink" Target="file:///h:\SJ%20Archive\2009\04-30-09.docx" TargetMode="External"/><Relationship Id="rId17" Type="http://schemas.openxmlformats.org/officeDocument/2006/relationships/hyperlink" Target="file:///p:\pprever\2009-10\248_20090422.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p:\pprever\2009-10\248_20090113.docx" TargetMode="External"/><Relationship Id="rId20" Type="http://schemas.openxmlformats.org/officeDocument/2006/relationships/hyperlink" Target="file:///p:\pprever\2009-10\248_20090430.docx" TargetMode="Externa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4-30-09.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Archive\2009\05-12-09.docx" TargetMode="External"/><Relationship Id="rId23" Type="http://schemas.openxmlformats.org/officeDocument/2006/relationships/footer" Target="footer2.xml"/><Relationship Id="rId10" Type="http://schemas.openxmlformats.org/officeDocument/2006/relationships/hyperlink" Target="file:///h:\SJ%20Archive\2009\04-30-09.docx" TargetMode="External"/><Relationship Id="rId19" Type="http://schemas.openxmlformats.org/officeDocument/2006/relationships/hyperlink" Target="file:///p:\pprever\2009-10\248_20090429.docx" TargetMode="External"/><Relationship Id="rId4" Type="http://schemas.openxmlformats.org/officeDocument/2006/relationships/footnotes" Target="footnotes.xml"/><Relationship Id="rId9" Type="http://schemas.openxmlformats.org/officeDocument/2006/relationships/hyperlink" Target="file:///h:\SJ%20Archive\2009\04-29-09.docx" TargetMode="External"/><Relationship Id="rId14" Type="http://schemas.openxmlformats.org/officeDocument/2006/relationships/hyperlink" Target="file:///h:\HJ%20Archive\2009\05-12-0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1113</Words>
  <Characters>5712</Characters>
  <Application>Microsoft Office Word</Application>
  <DocSecurity>0</DocSecurity>
  <Lines>172</Lines>
  <Paragraphs>62</Paragraphs>
  <ScaleCrop>false</ScaleCrop>
  <Company>Project Management</Company>
  <LinksUpToDate>false</LinksUpToDate>
  <CharactersWithSpaces>6809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248: Underage drinking - South Carolina Legislature Online</dc:title>
  <dc:subject/>
  <dc:creator>NSC</dc:creator>
  <cp:keywords/>
  <dc:description/>
  <cp:lastModifiedBy>N Cumfer</cp:lastModifiedBy>
  <cp:revision>10</cp:revision>
  <dcterms:created xsi:type="dcterms:W3CDTF">2009-05-01T14:21:00Z</dcterms:created>
  <dcterms:modified xsi:type="dcterms:W3CDTF">2014-11-24T14:56:00Z</dcterms:modified>
</cp:coreProperties>
</file>