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526" w:rsidRDefault="00E04A6D">
      <w:pPr>
        <w:widowControl w:val="0"/>
        <w:jc w:val="center"/>
        <w:rPr>
          <w:rFonts w:cs="Times New Roman"/>
        </w:rPr>
      </w:pPr>
      <w:bookmarkStart w:id="0" w:name="_GoBack"/>
      <w:bookmarkEnd w:id="0"/>
      <w:r>
        <w:rPr>
          <w:rFonts w:cs="Times New Roman"/>
          <w:b/>
        </w:rPr>
        <w:t>South Carolina General Assembly</w:t>
      </w:r>
    </w:p>
    <w:p w:rsidR="00A81526" w:rsidRDefault="00E04A6D">
      <w:pPr>
        <w:widowControl w:val="0"/>
        <w:jc w:val="center"/>
        <w:rPr>
          <w:rFonts w:cs="Times New Roman"/>
        </w:rPr>
      </w:pPr>
      <w:r>
        <w:rPr>
          <w:rFonts w:cs="Times New Roman"/>
        </w:rPr>
        <w:t>118th Session, 2009-2010</w:t>
      </w:r>
    </w:p>
    <w:p w:rsidR="00A81526" w:rsidRDefault="00A81526">
      <w:pPr>
        <w:widowControl w:val="0"/>
        <w:jc w:val="left"/>
        <w:rPr>
          <w:rFonts w:cs="Times New Roman"/>
        </w:rPr>
      </w:pPr>
    </w:p>
    <w:p w:rsidR="00A81526" w:rsidRDefault="00E04A6D">
      <w:pPr>
        <w:widowControl w:val="0"/>
        <w:jc w:val="left"/>
        <w:rPr>
          <w:rFonts w:cs="Times New Roman"/>
          <w:b/>
        </w:rPr>
      </w:pPr>
      <w:r>
        <w:rPr>
          <w:rFonts w:cs="Times New Roman"/>
          <w:b/>
        </w:rPr>
        <w:t>S. 283</w:t>
      </w:r>
    </w:p>
    <w:p w:rsidR="00A81526" w:rsidRDefault="00A81526">
      <w:pPr>
        <w:widowControl w:val="0"/>
        <w:jc w:val="left"/>
        <w:rPr>
          <w:rFonts w:cs="Times New Roman"/>
          <w:b/>
        </w:rPr>
      </w:pPr>
    </w:p>
    <w:p w:rsidR="00A81526" w:rsidRDefault="00E04A6D">
      <w:pPr>
        <w:widowControl w:val="0"/>
        <w:jc w:val="left"/>
        <w:rPr>
          <w:rFonts w:cs="Times New Roman"/>
        </w:rPr>
      </w:pPr>
      <w:r>
        <w:rPr>
          <w:rFonts w:cs="Times New Roman"/>
          <w:b/>
        </w:rPr>
        <w:t>STATUS INFORMATION</w:t>
      </w:r>
    </w:p>
    <w:p w:rsidR="00A81526" w:rsidRDefault="00A81526">
      <w:pPr>
        <w:widowControl w:val="0"/>
        <w:jc w:val="left"/>
        <w:rPr>
          <w:rFonts w:cs="Times New Roman"/>
        </w:rPr>
      </w:pPr>
    </w:p>
    <w:p w:rsidR="00A81526" w:rsidRDefault="00E04A6D">
      <w:pPr>
        <w:widowControl w:val="0"/>
        <w:jc w:val="left"/>
        <w:rPr>
          <w:rFonts w:cs="Times New Roman"/>
        </w:rPr>
      </w:pPr>
      <w:r>
        <w:rPr>
          <w:rFonts w:cs="Times New Roman"/>
        </w:rPr>
        <w:t>General Bill</w:t>
      </w:r>
    </w:p>
    <w:p w:rsidR="00A81526" w:rsidRDefault="00E04A6D">
      <w:pPr>
        <w:widowControl w:val="0"/>
        <w:jc w:val="left"/>
        <w:rPr>
          <w:rFonts w:cs="Times New Roman"/>
        </w:rPr>
      </w:pPr>
      <w:r>
        <w:rPr>
          <w:rFonts w:cs="Times New Roman"/>
        </w:rPr>
        <w:t>Sponsors: Senators Malloy, Leventis, Sheheen, Massey, Hutto, Scott, Reese and Bright</w:t>
      </w:r>
    </w:p>
    <w:p w:rsidR="00A81526" w:rsidRDefault="00E04A6D">
      <w:pPr>
        <w:widowControl w:val="0"/>
        <w:jc w:val="left"/>
        <w:rPr>
          <w:rFonts w:cs="Times New Roman"/>
        </w:rPr>
      </w:pPr>
      <w:r>
        <w:rPr>
          <w:rFonts w:cs="Times New Roman"/>
        </w:rPr>
        <w:t>Document Path: l:\s-jud\bills\malloy\jud0052.jjg.docx</w:t>
      </w:r>
    </w:p>
    <w:p w:rsidR="00A81526" w:rsidRDefault="00E04A6D">
      <w:pPr>
        <w:widowControl w:val="0"/>
        <w:jc w:val="left"/>
        <w:rPr>
          <w:rFonts w:cs="Times New Roman"/>
        </w:rPr>
      </w:pPr>
      <w:r>
        <w:rPr>
          <w:rFonts w:cs="Times New Roman"/>
        </w:rPr>
        <w:t>Companion/Similar bill(s): 777</w:t>
      </w:r>
    </w:p>
    <w:p w:rsidR="00A81526" w:rsidRDefault="00A81526">
      <w:pPr>
        <w:widowControl w:val="0"/>
        <w:jc w:val="left"/>
        <w:rPr>
          <w:rFonts w:cs="Times New Roman"/>
        </w:rPr>
      </w:pPr>
    </w:p>
    <w:p w:rsidR="00A81526" w:rsidRDefault="00E04A6D">
      <w:pPr>
        <w:widowControl w:val="0"/>
        <w:jc w:val="left"/>
        <w:rPr>
          <w:rFonts w:cs="Times New Roman"/>
        </w:rPr>
      </w:pPr>
      <w:r>
        <w:rPr>
          <w:rFonts w:cs="Times New Roman"/>
        </w:rPr>
        <w:t>Introduced in the Senate on January 15, 2009</w:t>
      </w:r>
    </w:p>
    <w:p w:rsidR="00A81526" w:rsidRDefault="00E04A6D">
      <w:pPr>
        <w:widowControl w:val="0"/>
        <w:jc w:val="left"/>
        <w:rPr>
          <w:rFonts w:cs="Times New Roman"/>
        </w:rPr>
      </w:pPr>
      <w:r>
        <w:rPr>
          <w:rFonts w:cs="Times New Roman"/>
        </w:rPr>
        <w:t xml:space="preserve">Currently residing in the Senate Committee on </w:t>
      </w:r>
      <w:r>
        <w:rPr>
          <w:rFonts w:cs="Times New Roman"/>
          <w:b/>
        </w:rPr>
        <w:t>Judiciary</w:t>
      </w:r>
    </w:p>
    <w:p w:rsidR="00A81526" w:rsidRDefault="00A81526">
      <w:pPr>
        <w:widowControl w:val="0"/>
        <w:jc w:val="left"/>
        <w:rPr>
          <w:rFonts w:cs="Times New Roman"/>
        </w:rPr>
      </w:pPr>
    </w:p>
    <w:p w:rsidR="00A81526" w:rsidRDefault="00E04A6D">
      <w:pPr>
        <w:widowControl w:val="0"/>
        <w:jc w:val="left"/>
        <w:rPr>
          <w:rFonts w:cs="Times New Roman"/>
        </w:rPr>
      </w:pPr>
      <w:r>
        <w:rPr>
          <w:rFonts w:cs="Times New Roman"/>
        </w:rPr>
        <w:t>Summary: Judicial Merit Selection Commission</w:t>
      </w:r>
    </w:p>
    <w:p w:rsidR="00A81526" w:rsidRDefault="00A81526">
      <w:pPr>
        <w:widowControl w:val="0"/>
        <w:jc w:val="left"/>
        <w:rPr>
          <w:rFonts w:cs="Times New Roman"/>
        </w:rPr>
      </w:pPr>
    </w:p>
    <w:p w:rsidR="00A81526" w:rsidRDefault="00A81526">
      <w:pPr>
        <w:widowControl w:val="0"/>
        <w:jc w:val="left"/>
        <w:rPr>
          <w:rFonts w:cs="Times New Roman"/>
        </w:rPr>
      </w:pPr>
    </w:p>
    <w:p w:rsidR="00A81526" w:rsidRDefault="00E04A6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81526" w:rsidRDefault="00A81526">
      <w:pPr>
        <w:widowControl w:val="0"/>
        <w:tabs>
          <w:tab w:val="center" w:pos="590"/>
          <w:tab w:val="center" w:pos="1440"/>
          <w:tab w:val="left" w:pos="1872"/>
          <w:tab w:val="left" w:pos="9187"/>
        </w:tabs>
        <w:jc w:val="left"/>
        <w:rPr>
          <w:rFonts w:cs="Times New Roman"/>
        </w:rPr>
      </w:pPr>
    </w:p>
    <w:p w:rsidR="00A81526" w:rsidRDefault="00E04A6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81526" w:rsidRDefault="00E04A6D">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573203">
          <w:rPr>
            <w:rStyle w:val="Hyperlink"/>
            <w:rFonts w:cs="Times New Roman"/>
          </w:rPr>
          <w:t>SJ</w:t>
        </w:r>
      </w:hyperlink>
      <w:r>
        <w:rPr>
          <w:rFonts w:cs="Times New Roman"/>
        </w:rPr>
        <w:noBreakHyphen/>
        <w:t>8</w:t>
      </w:r>
    </w:p>
    <w:p w:rsidR="00A81526" w:rsidRDefault="00E04A6D">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573203">
          <w:rPr>
            <w:rStyle w:val="Hyperlink"/>
            <w:rFonts w:cs="Times New Roman"/>
          </w:rPr>
          <w:t>SJ</w:t>
        </w:r>
      </w:hyperlink>
      <w:r>
        <w:rPr>
          <w:rFonts w:cs="Times New Roman"/>
        </w:rPr>
        <w:noBreakHyphen/>
        <w:t>8</w:t>
      </w:r>
    </w:p>
    <w:p w:rsidR="00A81526" w:rsidRDefault="00A81526">
      <w:pPr>
        <w:widowControl w:val="0"/>
        <w:tabs>
          <w:tab w:val="right" w:pos="1008"/>
          <w:tab w:val="left" w:pos="1152"/>
          <w:tab w:val="left" w:pos="1872"/>
          <w:tab w:val="left" w:pos="9187"/>
        </w:tabs>
        <w:ind w:left="2088" w:hanging="2088"/>
        <w:jc w:val="left"/>
        <w:rPr>
          <w:rFonts w:cs="Times New Roman"/>
        </w:rPr>
      </w:pPr>
    </w:p>
    <w:p w:rsidR="00A81526" w:rsidRDefault="00A81526">
      <w:pPr>
        <w:widowControl w:val="0"/>
        <w:tabs>
          <w:tab w:val="right" w:pos="1008"/>
          <w:tab w:val="left" w:pos="1152"/>
          <w:tab w:val="left" w:pos="1872"/>
          <w:tab w:val="left" w:pos="9187"/>
        </w:tabs>
        <w:ind w:left="2088" w:hanging="2088"/>
        <w:jc w:val="left"/>
        <w:rPr>
          <w:rFonts w:cs="Times New Roman"/>
        </w:rPr>
      </w:pPr>
    </w:p>
    <w:p w:rsidR="00A81526" w:rsidRDefault="00E04A6D">
      <w:pPr>
        <w:widowControl w:val="0"/>
        <w:jc w:val="left"/>
        <w:rPr>
          <w:rFonts w:cs="Times New Roman"/>
        </w:rPr>
      </w:pPr>
      <w:r>
        <w:rPr>
          <w:rFonts w:cs="Times New Roman"/>
          <w:b/>
        </w:rPr>
        <w:t>VERSIONS OF THIS BILL</w:t>
      </w:r>
    </w:p>
    <w:p w:rsidR="00A81526" w:rsidRDefault="00A81526">
      <w:pPr>
        <w:widowControl w:val="0"/>
        <w:jc w:val="left"/>
        <w:rPr>
          <w:rFonts w:cs="Times New Roman"/>
        </w:rPr>
      </w:pPr>
    </w:p>
    <w:p w:rsidR="00A81526" w:rsidRDefault="006D3A08">
      <w:pPr>
        <w:widowControl w:val="0"/>
        <w:jc w:val="left"/>
        <w:rPr>
          <w:rFonts w:cs="Times New Roman"/>
        </w:rPr>
      </w:pPr>
      <w:hyperlink r:id="rId8" w:history="1">
        <w:r w:rsidR="00E04A6D">
          <w:rPr>
            <w:rStyle w:val="Hyperlink"/>
            <w:rFonts w:cs="Times New Roman"/>
          </w:rPr>
          <w:t>1/15/2009</w:t>
        </w:r>
      </w:hyperlink>
    </w:p>
    <w:p w:rsidR="00A81526" w:rsidRDefault="00A81526"/>
    <w:p w:rsidR="00A81526" w:rsidRDefault="00A81526">
      <w:pPr>
        <w:sectPr w:rsidR="00A81526">
          <w:pgSz w:w="12240" w:h="15840" w:code="1"/>
          <w:pgMar w:top="1080" w:right="1440" w:bottom="1080" w:left="1440" w:header="720" w:footer="720" w:gutter="0"/>
          <w:cols w:space="720"/>
          <w:noEndnote/>
          <w:docGrid w:linePitch="360"/>
        </w:sectPr>
      </w:pP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rPr>
          <w:rFonts w:eastAsia="Calibri" w:cs="Times New Roman"/>
          <w:color w:val="000000"/>
          <w:u w:color="000000"/>
        </w:rPr>
        <w:t>TO AMEND SECTIONS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10, 2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20, 2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35, 2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70, 2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80, AND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90, CODE OF LAWS OF SOUTH CAROLINA, 1976, RELATING TO THE JUDICIAL MERIT SELECTION COMMISSION, SO AS TO CHANGE THE COMMISSION</w:t>
      </w:r>
      <w:r>
        <w:rPr>
          <w:rFonts w:cs="Times New Roman"/>
          <w:color w:val="000000" w:themeColor="text1"/>
          <w:u w:color="000000" w:themeColor="text1"/>
        </w:rPr>
        <w:t>’</w:t>
      </w:r>
      <w:r>
        <w:rPr>
          <w:rFonts w:eastAsia="Calibri" w:cs="Times New Roman"/>
          <w:color w:val="000000"/>
          <w:u w:color="000000"/>
        </w:rPr>
        <w:t>S PROCESS FOR NOMINATING JUDICIAL CANDIDATES FROM THE NOMINATION OF THREE CANDIDATES TO THE RELEASE OF A LIST OF QUALIFIED CANDIDATES TO THE GENERAL ASSEMBLY.</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Times New Roman" w:cs="Times New Roman"/>
        </w:rPr>
        <w:t>SECTION</w:t>
      </w:r>
      <w:r>
        <w:rPr>
          <w:rFonts w:eastAsia="Times New Roman" w:cs="Times New Roman"/>
        </w:rPr>
        <w:tab/>
        <w:t>1.</w:t>
      </w:r>
      <w:r>
        <w:rPr>
          <w:rFonts w:eastAsia="Times New Roman" w:cs="Times New Roman"/>
        </w:rPr>
        <w:tab/>
      </w:r>
      <w:r>
        <w:rPr>
          <w:rFonts w:cs="Times New Roman"/>
          <w:bCs/>
          <w:color w:val="000000" w:themeColor="text1"/>
          <w:u w:color="000000" w:themeColor="text1"/>
        </w:rPr>
        <w:t>S</w:t>
      </w:r>
      <w:r>
        <w:rPr>
          <w:rFonts w:eastAsia="Calibri" w:cs="Times New Roman"/>
          <w:bCs/>
          <w:color w:val="000000"/>
          <w:u w:color="000000"/>
        </w:rPr>
        <w:t>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10 of the 1976 Code is amended to read:</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p>
    <w:p w:rsidR="00A81526" w:rsidRDefault="00E04A6D">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(A)</w:t>
      </w:r>
      <w:r>
        <w:rPr>
          <w:rFonts w:eastAsia="Calibri" w:cs="Times New Roman"/>
          <w:color w:val="000000"/>
          <w:u w:color="000000"/>
        </w:rPr>
        <w:tab/>
        <w:t>Whenever an election is to be held by the General Assembly in Joint Session, for members of the judiciary, a Judicial Merit Selection Commission, composed of ten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(1)</w:t>
      </w:r>
      <w:r>
        <w:rPr>
          <w:rFonts w:eastAsia="Calibri" w:cs="Times New Roman"/>
          <w:color w:val="000000"/>
          <w:u w:color="000000"/>
        </w:rPr>
        <w:tab/>
        <w:t>the confidentiality of records and other information received concerning candidates for judicial office;</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the conduct of proceedings before the commission;</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(3)</w:t>
      </w:r>
      <w:r>
        <w:rPr>
          <w:rFonts w:eastAsia="Calibri" w:cs="Times New Roman"/>
          <w:color w:val="000000"/>
          <w:u w:color="000000"/>
        </w:rPr>
        <w:tab/>
        <w:t>receipt of public statements in support of or in opposition to any of the candidates;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lastRenderedPageBreak/>
        <w:tab/>
      </w:r>
      <w:r>
        <w:rPr>
          <w:rFonts w:eastAsia="Calibri" w:cs="Times New Roman"/>
          <w:color w:val="000000"/>
          <w:u w:color="000000"/>
        </w:rPr>
        <w:tab/>
        <w:t>(4)</w:t>
      </w:r>
      <w:r>
        <w:rPr>
          <w:rFonts w:eastAsia="Calibri" w:cs="Times New Roman"/>
          <w:color w:val="000000"/>
          <w:u w:color="000000"/>
        </w:rPr>
        <w:tab/>
        <w:t>procedures to review the qualifications of retired judges for continued judicial service;</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(5)</w:t>
      </w:r>
      <w:r>
        <w:rPr>
          <w:rFonts w:eastAsia="Calibri" w:cs="Times New Roman"/>
          <w:color w:val="000000"/>
          <w:u w:color="000000"/>
        </w:rPr>
        <w:tab/>
        <w:t>contacting incumbent judges regarding their desire to seek re</w:t>
      </w:r>
      <w:r>
        <w:rPr>
          <w:rFonts w:cs="Times New Roman"/>
          <w:color w:val="000000" w:themeColor="text1"/>
          <w:u w:color="000000" w:themeColor="text1"/>
        </w:rPr>
        <w:noBreakHyphen/>
      </w:r>
      <w:r>
        <w:rPr>
          <w:rFonts w:eastAsia="Calibri" w:cs="Times New Roman"/>
          <w:color w:val="000000"/>
          <w:u w:color="000000"/>
        </w:rPr>
        <w:t>election;</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(6)</w:t>
      </w:r>
      <w:r>
        <w:rPr>
          <w:rFonts w:eastAsia="Calibri" w:cs="Times New Roman"/>
          <w:color w:val="000000"/>
          <w:u w:color="000000"/>
        </w:rPr>
        <w:tab/>
        <w:t>prohibition against candidates communicating with individual members of the commission concerning the qualifications of candidates unless specifically authorized by the commission.</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 member may succeed himself as chairman or vice chairman.  Six members of the commission constitute a quorum at all meetings.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Notwithstanding any other provision of law, the Judicial Merit Selection Commission shall consist of the following individuals: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(1)</w:t>
      </w:r>
      <w:r>
        <w:rPr>
          <w:rFonts w:eastAsia="Calibri" w:cs="Times New Roman"/>
          <w:color w:val="000000"/>
          <w:u w:color="000000"/>
        </w:rPr>
        <w:tab/>
        <w:t>five members appointed by the Speaker of the House of Representatives and of these appointments: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color="000000"/>
        </w:rPr>
        <w:tab/>
        <w:t>(a)</w:t>
      </w:r>
      <w:r>
        <w:rPr>
          <w:rFonts w:eastAsia="Calibri" w:cs="Times New Roman"/>
          <w:color w:val="000000"/>
          <w:u w:color="000000"/>
        </w:rPr>
        <w:tab/>
        <w:t>three members must be serving members of the General Assembly; and</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color="000000"/>
        </w:rPr>
        <w:tab/>
        <w:t>(b)</w:t>
      </w:r>
      <w:r>
        <w:rPr>
          <w:rFonts w:eastAsia="Calibri" w:cs="Times New Roman"/>
          <w:color w:val="000000"/>
          <w:u w:color="000000"/>
        </w:rPr>
        <w:tab/>
        <w:t>two members must be selected from the general public;</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three members appointed by the Chairman of the Senate Judiciary Committee and two members appointed by the President Pro Tempore of the Senate and of these appointments: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color="000000"/>
        </w:rPr>
        <w:tab/>
        <w:t>(a)</w:t>
      </w:r>
      <w:r>
        <w:rPr>
          <w:rFonts w:eastAsia="Calibri" w:cs="Times New Roman"/>
          <w:color w:val="000000"/>
          <w:u w:color="000000"/>
        </w:rPr>
        <w:tab/>
        <w:t>three members must be serving members of the General Assembly; and</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color="000000"/>
        </w:rPr>
        <w:tab/>
        <w:t>(b)</w:t>
      </w:r>
      <w:r>
        <w:rPr>
          <w:rFonts w:eastAsia="Calibri" w:cs="Times New Roman"/>
          <w:color w:val="000000"/>
          <w:u w:color="000000"/>
        </w:rPr>
        <w:tab/>
        <w:t xml:space="preserve">two members must be selected from the general public. </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(C)</w:t>
      </w:r>
      <w:r>
        <w:rPr>
          <w:rFonts w:eastAsia="Calibri" w:cs="Times New Roman"/>
          <w:color w:val="000000"/>
          <w:u w:color="000000"/>
        </w:rPr>
        <w:tab/>
        <w:t xml:space="preserve">In making appointments to the commission, race, gender, national origin, and other demographic factors should be considered to ensure nondiscrimination to the greatest extent possible as to all segments of the population of the State. </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(D)</w:t>
      </w:r>
      <w:r>
        <w:rPr>
          <w:rFonts w:eastAsia="Calibri" w:cs="Times New Roman"/>
          <w:color w:val="000000"/>
          <w:u w:color="000000"/>
        </w:rPr>
        <w:tab/>
        <w:t>The term of office of a member of the commission who is not a member of the General Assembly shall be for four years subject to a right of removal at any time by the person appointing him, and until his successor is appointed and qualifies.  A member of the commission who is a serving member of the General Assembly shall serve for the term of office to which he has been elected.</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(E)</w:t>
      </w:r>
      <w:r>
        <w:rPr>
          <w:rFonts w:eastAsia="Calibri" w:cs="Times New Roman"/>
          <w:color w:val="000000"/>
          <w:u w:color="000000"/>
        </w:rPr>
        <w:tab/>
        <w:t>A vacancy on the Judicial Merit Selection Commission must be filled for the remainder of the unexpired term in the same manner as provided for the original selection.</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(F)</w:t>
      </w:r>
      <w:r>
        <w:rPr>
          <w:rFonts w:eastAsia="Calibri" w:cs="Times New Roman"/>
          <w:color w:val="000000"/>
          <w:u w:color="000000"/>
        </w:rPr>
        <w:tab/>
        <w:t>No member of the commission shall receive any compensation for commission services, except those set by law for travel, board, and lodging expenses incurred in the performance of commission duties.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(G)</w:t>
      </w:r>
      <w:r>
        <w:rPr>
          <w:rFonts w:eastAsia="Calibri" w:cs="Times New Roman"/>
          <w:color w:val="000000"/>
          <w:u w:color="000000"/>
        </w:rPr>
        <w:tab/>
        <w:t xml:space="preserve">No member of the Judicial Merit Selection Commission is eligible for </w:t>
      </w:r>
      <w:r>
        <w:rPr>
          <w:rFonts w:eastAsia="Calibri" w:cs="Times New Roman"/>
          <w:strike/>
          <w:color w:val="000000"/>
          <w:u w:color="000000"/>
        </w:rPr>
        <w:t>nomination</w:t>
      </w:r>
      <w:r>
        <w:rPr>
          <w:rFonts w:eastAsia="Calibri" w:cs="Times New Roman"/>
          <w:color w:val="000000"/>
          <w:u w:color="000000"/>
        </w:rPr>
        <w:t xml:space="preserve"> </w:t>
      </w:r>
      <w:r>
        <w:rPr>
          <w:rFonts w:eastAsia="Calibri" w:cs="Times New Roman"/>
          <w:color w:val="000000"/>
          <w:u w:val="single" w:color="000000"/>
        </w:rPr>
        <w:t>election</w:t>
      </w:r>
      <w:r>
        <w:rPr>
          <w:rFonts w:eastAsia="Calibri" w:cs="Times New Roman"/>
          <w:color w:val="000000"/>
          <w:u w:color="000000"/>
        </w:rPr>
        <w:t xml:space="preserve"> and appointment as a judge or justice of the state court system or administrative law judge division while serving on the commission and for a period of one year thereafter.</w:t>
      </w:r>
      <w:r>
        <w:rPr>
          <w:rFonts w:cs="Times New Roman"/>
          <w:color w:val="000000" w:themeColor="text1"/>
          <w:u w:color="000000" w:themeColor="text1"/>
        </w:rPr>
        <w:t>”</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2.</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20 of the 1976 Code is amended to read:</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 xml:space="preserve">(A) It is the responsibility of the Judicial Merit Selection Commission to determine when judicial vacancies are to occur in the administrative law judge division and on the family court, circuit court, court of appeals, or Supreme Court and to expeditiously investigate in advance the qualifications of those who seek </w:t>
      </w:r>
      <w:r>
        <w:rPr>
          <w:rFonts w:eastAsia="Calibri" w:cs="Times New Roman"/>
          <w:strike/>
          <w:color w:val="000000"/>
          <w:u w:color="000000"/>
        </w:rPr>
        <w:t>nomination</w:t>
      </w:r>
      <w:r>
        <w:rPr>
          <w:rFonts w:eastAsia="Calibri" w:cs="Times New Roman"/>
          <w:color w:val="000000"/>
          <w:u w:color="000000"/>
        </w:rPr>
        <w:t xml:space="preserve"> </w:t>
      </w:r>
      <w:r>
        <w:rPr>
          <w:rFonts w:eastAsia="Calibri" w:cs="Times New Roman"/>
          <w:color w:val="000000"/>
          <w:u w:val="single" w:color="000000"/>
        </w:rPr>
        <w:t>election</w:t>
      </w:r>
      <w:r>
        <w:rPr>
          <w:rFonts w:eastAsia="Calibri" w:cs="Times New Roman"/>
          <w:color w:val="000000"/>
          <w:u w:color="000000"/>
        </w:rPr>
        <w:t xml:space="preserve">.  For purposes of this chapter, a vacancy is created in the administrative law judge division or on the family court, circuit court, court of appeals, or Supreme Court when any of the following occurs:  a term expires; a new judicial position is created; or a judge can no longer serve due to resignation, retirement, disciplinary action, disability, or death. </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The commission, upon receiving notice of a judicial vacancy, ascertaining that a judicial vacancy shall occur, or receiving the decision of an incumbent judge regarding his seeking re</w:t>
      </w:r>
      <w:r>
        <w:rPr>
          <w:rFonts w:cs="Times New Roman"/>
          <w:color w:val="000000" w:themeColor="text1"/>
          <w:u w:color="000000" w:themeColor="text1"/>
        </w:rPr>
        <w:noBreakHyphen/>
      </w:r>
      <w:r>
        <w:rPr>
          <w:rFonts w:eastAsia="Calibri" w:cs="Times New Roman"/>
          <w:color w:val="000000"/>
          <w:u w:color="000000"/>
        </w:rPr>
        <w:t>election, shall notify the Supreme Court of the vacancy for publication in the advance sheets provided by the Clerk of the Supreme Court at least thirty days prior to closing applications for the vacancy.  The commission shall, if practicable, also notify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(C)</w:t>
      </w:r>
      <w:r>
        <w:rPr>
          <w:rFonts w:eastAsia="Calibri" w:cs="Times New Roman"/>
          <w:color w:val="000000"/>
          <w:u w:color="000000"/>
        </w:rPr>
        <w:tab/>
        <w:t xml:space="preserve">The Judicial Merit Selection Commission shall announce and publicize vacancies and forthcoming vacancies in the administrative law judge division, on the family court, circuit court, court of appeals, and Supreme Court. A person who desires to be considered for </w:t>
      </w:r>
      <w:r>
        <w:rPr>
          <w:rFonts w:eastAsia="Calibri" w:cs="Times New Roman"/>
          <w:strike/>
          <w:color w:val="000000"/>
          <w:u w:color="000000"/>
        </w:rPr>
        <w:t>nomination</w:t>
      </w:r>
      <w:r>
        <w:rPr>
          <w:rFonts w:eastAsia="Calibri" w:cs="Times New Roman"/>
          <w:color w:val="000000"/>
          <w:u w:color="000000"/>
        </w:rPr>
        <w:t xml:space="preserve"> </w:t>
      </w:r>
      <w:r>
        <w:rPr>
          <w:rFonts w:eastAsia="Calibri" w:cs="Times New Roman"/>
          <w:color w:val="000000"/>
          <w:u w:val="single" w:color="000000"/>
        </w:rPr>
        <w:t>election</w:t>
      </w:r>
      <w:r>
        <w:rPr>
          <w:rFonts w:eastAsia="Calibri" w:cs="Times New Roman"/>
          <w:color w:val="000000"/>
          <w:u w:color="000000"/>
        </w:rPr>
        <w:t xml:space="preserve"> as justice or judge may make application to the commission. No person may concurrently seek more than one judicial vacancy. The commission shall announce the names of those persons who have applied. </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(D)</w:t>
      </w:r>
      <w:r>
        <w:rPr>
          <w:rFonts w:eastAsia="Calibri" w:cs="Times New Roman"/>
          <w:color w:val="000000"/>
          <w:u w:color="000000"/>
        </w:rPr>
        <w:tab/>
        <w:t>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upon request, cooperate fully with the commission.</w:t>
      </w:r>
      <w:r>
        <w:rPr>
          <w:rFonts w:cs="Times New Roman"/>
          <w:color w:val="000000" w:themeColor="text1"/>
          <w:u w:color="000000" w:themeColor="text1"/>
        </w:rPr>
        <w:t>”</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3.</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35 of the 1976 Code is amended to read:</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“(A)</w:t>
      </w:r>
      <w:r>
        <w:rPr>
          <w:rFonts w:eastAsia="Calibri" w:cs="Times New Roman"/>
          <w:color w:val="000000"/>
          <w:u w:color="000000"/>
        </w:rPr>
        <w:tab/>
        <w:t>The responsibility of the Judicial Merit Selection Commission is to investigate and consider the qualifications of the candidates for judicial office in the administrative law judge division or on the family court, circuit court, court of appeals, or Supreme Court.  Investigations and consideration of the commission should include, but are not limited to, the following areas: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(1)</w:t>
      </w:r>
      <w:r>
        <w:rPr>
          <w:rFonts w:eastAsia="Calibri" w:cs="Times New Roman"/>
          <w:color w:val="000000"/>
          <w:u w:color="000000"/>
        </w:rPr>
        <w:tab/>
        <w:t>constitutional qualifications;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ethical fitness;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(3)</w:t>
      </w:r>
      <w:r>
        <w:rPr>
          <w:rFonts w:eastAsia="Calibri" w:cs="Times New Roman"/>
          <w:color w:val="000000"/>
          <w:u w:color="000000"/>
        </w:rPr>
        <w:tab/>
        <w:t>professional and academic ability;</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(4)</w:t>
      </w:r>
      <w:r>
        <w:rPr>
          <w:rFonts w:eastAsia="Calibri" w:cs="Times New Roman"/>
          <w:color w:val="000000"/>
          <w:u w:color="000000"/>
        </w:rPr>
        <w:tab/>
        <w:t>character;</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(5)</w:t>
      </w:r>
      <w:r>
        <w:rPr>
          <w:rFonts w:eastAsia="Calibri" w:cs="Times New Roman"/>
          <w:color w:val="000000"/>
          <w:u w:color="000000"/>
        </w:rPr>
        <w:tab/>
        <w:t>reputation;</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(6)</w:t>
      </w:r>
      <w:r>
        <w:rPr>
          <w:rFonts w:eastAsia="Calibri" w:cs="Times New Roman"/>
          <w:color w:val="000000"/>
          <w:u w:color="000000"/>
        </w:rPr>
        <w:tab/>
        <w:t>physical health;</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(7)</w:t>
      </w:r>
      <w:r>
        <w:rPr>
          <w:rFonts w:eastAsia="Calibri" w:cs="Times New Roman"/>
          <w:color w:val="000000"/>
          <w:u w:color="000000"/>
        </w:rPr>
        <w:tab/>
        <w:t>mental stability;</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(8)</w:t>
      </w:r>
      <w:r>
        <w:rPr>
          <w:rFonts w:eastAsia="Calibri" w:cs="Times New Roman"/>
          <w:color w:val="000000"/>
          <w:u w:color="000000"/>
        </w:rPr>
        <w:tab/>
        <w:t>experience; and</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(9)</w:t>
      </w:r>
      <w:r>
        <w:rPr>
          <w:rFonts w:eastAsia="Calibri" w:cs="Times New Roman"/>
          <w:color w:val="000000"/>
          <w:u w:color="000000"/>
        </w:rPr>
        <w:tab/>
        <w:t>judicial temperament.</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 xml:space="preserve">In </w:t>
      </w:r>
      <w:r>
        <w:rPr>
          <w:rFonts w:eastAsia="Calibri" w:cs="Times New Roman"/>
          <w:strike/>
          <w:color w:val="000000"/>
          <w:u w:color="000000"/>
        </w:rPr>
        <w:t>making nominations</w:t>
      </w:r>
      <w:r>
        <w:rPr>
          <w:rFonts w:eastAsia="Calibri" w:cs="Times New Roman"/>
          <w:color w:val="000000"/>
          <w:u w:color="000000"/>
        </w:rPr>
        <w:t xml:space="preserve"> </w:t>
      </w:r>
      <w:r>
        <w:rPr>
          <w:rFonts w:eastAsia="Calibri" w:cs="Times New Roman"/>
          <w:color w:val="000000"/>
          <w:u w:val="single" w:color="000000"/>
        </w:rPr>
        <w:t>determining qualifications</w:t>
      </w:r>
      <w:r>
        <w:rPr>
          <w:rFonts w:eastAsia="Calibri" w:cs="Times New Roman"/>
          <w:color w:val="000000"/>
          <w:u w:color="000000"/>
        </w:rPr>
        <w:t>, race, gender, national origin, and other demographic factors should be considered by the commission to ensure nondiscrimination to the greatest extent possible as to all segments of the population of the State.</w:t>
      </w:r>
      <w:r>
        <w:rPr>
          <w:rFonts w:cs="Times New Roman"/>
          <w:color w:val="000000" w:themeColor="text1"/>
          <w:u w:color="000000" w:themeColor="text1"/>
        </w:rPr>
        <w:t>”</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4.</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70 of the 1976 Code is amended to read:</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 xml:space="preserve">(A) </w:t>
      </w:r>
      <w:r>
        <w:rPr>
          <w:rFonts w:eastAsia="Calibri" w:cs="Times New Roman"/>
          <w:color w:val="000000"/>
          <w:u w:color="000000"/>
        </w:rPr>
        <w:tab/>
        <w:t>No member of the General Assembly may be elected to a judicial office while he is serving in the General Assembly nor shall that person be elected to a judicial office for a period of one year after he either:</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(1)</w:t>
      </w:r>
      <w:r>
        <w:rPr>
          <w:rFonts w:eastAsia="Calibri" w:cs="Times New Roman"/>
          <w:color w:val="000000"/>
          <w:u w:color="000000"/>
        </w:rPr>
        <w:tab/>
        <w:t>ceases to be a member of the General Assembly; or</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fails to file for election to the General Assembly in accordance with Section 7</w:t>
      </w:r>
      <w:r>
        <w:rPr>
          <w:rFonts w:cs="Times New Roman"/>
          <w:color w:val="000000" w:themeColor="text1"/>
          <w:u w:color="000000" w:themeColor="text1"/>
        </w:rPr>
        <w:noBreakHyphen/>
      </w:r>
      <w:r>
        <w:rPr>
          <w:rFonts w:eastAsia="Calibri" w:cs="Times New Roman"/>
          <w:color w:val="000000"/>
          <w:u w:color="000000"/>
        </w:rPr>
        <w:t>11</w:t>
      </w:r>
      <w:r>
        <w:rPr>
          <w:rFonts w:cs="Times New Roman"/>
          <w:color w:val="000000" w:themeColor="text1"/>
          <w:u w:color="000000" w:themeColor="text1"/>
        </w:rPr>
        <w:noBreakHyphen/>
      </w:r>
      <w:r>
        <w:rPr>
          <w:rFonts w:eastAsia="Calibri" w:cs="Times New Roman"/>
          <w:color w:val="000000"/>
          <w:u w:color="000000"/>
        </w:rPr>
        <w:t>15.</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The privilege of the floor in either house of the General Assembly may not be granted to any candidate or any immediate family member of a candidate unless the family member is serving in the General Assembly, during the time the candidate</w:t>
      </w:r>
      <w:r>
        <w:rPr>
          <w:rFonts w:cs="Times New Roman"/>
          <w:color w:val="000000" w:themeColor="text1"/>
          <w:u w:color="000000" w:themeColor="text1"/>
        </w:rPr>
        <w:t>’</w:t>
      </w:r>
      <w:r>
        <w:rPr>
          <w:rFonts w:eastAsia="Calibri" w:cs="Times New Roman"/>
          <w:color w:val="000000"/>
          <w:u w:color="000000"/>
        </w:rPr>
        <w:t xml:space="preserve">s application is pending before the commission and during the time </w:t>
      </w:r>
      <w:r>
        <w:rPr>
          <w:rFonts w:eastAsia="Calibri" w:cs="Times New Roman"/>
          <w:strike/>
          <w:color w:val="000000"/>
          <w:u w:color="000000"/>
        </w:rPr>
        <w:t>his nomination by the commission</w:t>
      </w:r>
      <w:r>
        <w:rPr>
          <w:rFonts w:eastAsia="Calibri" w:cs="Times New Roman"/>
          <w:color w:val="000000"/>
          <w:u w:color="000000"/>
        </w:rPr>
        <w:t xml:space="preserve"> </w:t>
      </w:r>
      <w:r>
        <w:rPr>
          <w:rFonts w:eastAsia="Calibri" w:cs="Times New Roman"/>
          <w:color w:val="000000"/>
          <w:u w:val="single" w:color="000000"/>
        </w:rPr>
        <w:t>he is listed as qualified</w:t>
      </w:r>
      <w:r>
        <w:rPr>
          <w:rFonts w:eastAsia="Calibri" w:cs="Times New Roman"/>
          <w:color w:val="000000"/>
          <w:u w:color="000000"/>
        </w:rPr>
        <w:t xml:space="preserve"> for election to a particular judicial office </w:t>
      </w:r>
      <w:r>
        <w:rPr>
          <w:rFonts w:eastAsia="Calibri" w:cs="Times New Roman"/>
          <w:color w:val="000000"/>
          <w:u w:val="single" w:color="000000"/>
        </w:rPr>
        <w:t>by the commission and that election</w:t>
      </w:r>
      <w:r>
        <w:rPr>
          <w:rFonts w:eastAsia="Calibri" w:cs="Times New Roman"/>
          <w:color w:val="000000"/>
          <w:u w:color="000000"/>
        </w:rPr>
        <w:t xml:space="preserve"> is pending in the General Assembly.</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(C)</w:t>
      </w:r>
      <w:r>
        <w:rPr>
          <w:rFonts w:eastAsia="Calibri" w:cs="Times New Roman"/>
          <w:color w:val="000000"/>
          <w:u w:color="000000"/>
        </w:rPr>
        <w:tab/>
        <w:t>No candidate for judicial office may seek directly or indirectly the pledge of a member of the General Assembly</w:t>
      </w:r>
      <w:r>
        <w:rPr>
          <w:rFonts w:cs="Times New Roman"/>
          <w:color w:val="000000" w:themeColor="text1"/>
          <w:u w:color="000000" w:themeColor="text1"/>
        </w:rPr>
        <w:t>’</w:t>
      </w:r>
      <w:r>
        <w:rPr>
          <w:rFonts w:eastAsia="Calibri" w:cs="Times New Roman"/>
          <w:color w:val="000000"/>
          <w:u w:color="000000"/>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Pr>
          <w:rFonts w:eastAsia="Calibri" w:cs="Times New Roman"/>
          <w:strike/>
          <w:color w:val="000000"/>
          <w:u w:color="000000"/>
        </w:rPr>
        <w:t>its nominees</w:t>
      </w:r>
      <w:r>
        <w:rPr>
          <w:rFonts w:eastAsia="Calibri" w:cs="Times New Roman"/>
          <w:color w:val="000000"/>
          <w:u w:color="000000"/>
        </w:rPr>
        <w:t xml:space="preserve"> </w:t>
      </w:r>
      <w:r>
        <w:rPr>
          <w:rFonts w:eastAsia="Calibri" w:cs="Times New Roman"/>
          <w:color w:val="000000"/>
          <w:u w:val="single" w:color="000000"/>
        </w:rPr>
        <w:t>the candidates</w:t>
      </w:r>
      <w:r>
        <w:rPr>
          <w:rFonts w:eastAsia="Calibri" w:cs="Times New Roman"/>
          <w:color w:val="000000"/>
          <w:u w:color="000000"/>
        </w:rPr>
        <w:t xml:space="preserve"> to the General Assembly.  The formal release of the report of qualifications shall occur no earlier than forty</w:t>
      </w:r>
      <w:r>
        <w:rPr>
          <w:rFonts w:cs="Times New Roman"/>
          <w:color w:val="000000" w:themeColor="text1"/>
          <w:u w:color="000000" w:themeColor="text1"/>
        </w:rPr>
        <w:noBreakHyphen/>
      </w:r>
      <w:r>
        <w:rPr>
          <w:rFonts w:eastAsia="Calibri" w:cs="Times New Roman"/>
          <w:color w:val="000000"/>
          <w:u w:color="000000"/>
        </w:rPr>
        <w:t xml:space="preserve">eight hours after the </w:t>
      </w:r>
      <w:r>
        <w:rPr>
          <w:rFonts w:eastAsia="Calibri" w:cs="Times New Roman"/>
          <w:strike/>
          <w:color w:val="000000"/>
          <w:u w:color="000000"/>
        </w:rPr>
        <w:t>nominees have been</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is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the list of qualified candidates</w:t>
      </w:r>
      <w:r>
        <w:rPr>
          <w:rFonts w:eastAsia="Calibri" w:cs="Times New Roman"/>
          <w:color w:val="000000"/>
          <w:u w:color="000000"/>
        </w:rPr>
        <w:t xml:space="preserve"> for that office </w:t>
      </w:r>
      <w:r>
        <w:rPr>
          <w:rFonts w:eastAsia="Calibri" w:cs="Times New Roman"/>
          <w:strike/>
          <w:color w:val="000000"/>
          <w:u w:color="000000"/>
        </w:rPr>
        <w:t>are</w:t>
      </w:r>
      <w:r>
        <w:rPr>
          <w:rFonts w:eastAsia="Calibri" w:cs="Times New Roman"/>
          <w:color w:val="000000"/>
          <w:u w:color="000000"/>
        </w:rPr>
        <w:t xml:space="preserve"> </w:t>
      </w:r>
      <w:r>
        <w:rPr>
          <w:rFonts w:eastAsia="Calibri" w:cs="Times New Roman"/>
          <w:color w:val="000000"/>
          <w:u w:val="single" w:color="000000"/>
        </w:rPr>
        <w:t>is</w:t>
      </w:r>
      <w:r>
        <w:rPr>
          <w:rFonts w:eastAsia="Calibri" w:cs="Times New Roman"/>
          <w:color w:val="000000"/>
          <w:u w:color="000000"/>
        </w:rPr>
        <w:t xml:space="preserve"> formally made by the commission.  The prohibitions of this section do not extend to an announcement of candidacy by the candidate and statements by the candidate detailing the candidate</w:t>
      </w:r>
      <w:r>
        <w:rPr>
          <w:rFonts w:cs="Times New Roman"/>
          <w:color w:val="000000" w:themeColor="text1"/>
          <w:u w:color="000000" w:themeColor="text1"/>
        </w:rPr>
        <w:t>’</w:t>
      </w:r>
      <w:r>
        <w:rPr>
          <w:rFonts w:eastAsia="Calibri" w:cs="Times New Roman"/>
          <w:color w:val="000000"/>
          <w:u w:color="000000"/>
        </w:rPr>
        <w:t>s qualifications.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(D)</w:t>
      </w:r>
      <w:r>
        <w:rPr>
          <w:rFonts w:eastAsia="Calibri" w:cs="Times New Roman"/>
          <w:color w:val="000000"/>
          <w:u w:color="000000"/>
        </w:rPr>
        <w:tab/>
        <w:t>No member of the General Assembly may trade anything of value, including pledges to vote for legislation or for other candidates, in exchange for another member</w:t>
      </w:r>
      <w:r>
        <w:rPr>
          <w:rFonts w:cs="Times New Roman"/>
          <w:color w:val="000000" w:themeColor="text1"/>
          <w:u w:color="000000" w:themeColor="text1"/>
        </w:rPr>
        <w:t>’</w:t>
      </w:r>
      <w:r>
        <w:rPr>
          <w:rFonts w:eastAsia="Calibri" w:cs="Times New Roman"/>
          <w:color w:val="000000"/>
          <w:u w:color="000000"/>
        </w:rPr>
        <w:t>s pledge to vote for a candidate for judicial office.</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(E)</w:t>
      </w:r>
      <w:r>
        <w:rPr>
          <w:rFonts w:eastAsia="Calibri" w:cs="Times New Roman"/>
          <w:color w:val="000000"/>
          <w:u w:color="000000"/>
        </w:rPr>
        <w:tab/>
        <w:t>Violations of this section may be considered by the merit selection commission when it considers the candidate</w:t>
      </w:r>
      <w:r>
        <w:rPr>
          <w:rFonts w:cs="Times New Roman"/>
          <w:color w:val="000000" w:themeColor="text1"/>
          <w:u w:color="000000" w:themeColor="text1"/>
        </w:rPr>
        <w:t>’</w:t>
      </w:r>
      <w:r>
        <w:rPr>
          <w:rFonts w:eastAsia="Calibri" w:cs="Times New Roman"/>
          <w:color w:val="000000"/>
          <w:u w:color="000000"/>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Pr>
          <w:rFonts w:cs="Times New Roman"/>
          <w:color w:val="000000" w:themeColor="text1"/>
          <w:u w:color="000000" w:themeColor="text1"/>
        </w:rPr>
        <w:noBreakHyphen/>
      </w:r>
      <w:r>
        <w:rPr>
          <w:rFonts w:eastAsia="Calibri" w:cs="Times New Roman"/>
          <w:color w:val="000000"/>
          <w:u w:color="000000"/>
        </w:rPr>
        <w:t>3</w:t>
      </w:r>
      <w:r>
        <w:rPr>
          <w:rFonts w:cs="Times New Roman"/>
          <w:color w:val="000000" w:themeColor="text1"/>
          <w:u w:color="000000" w:themeColor="text1"/>
        </w:rPr>
        <w:noBreakHyphen/>
      </w:r>
      <w:r>
        <w:rPr>
          <w:rFonts w:eastAsia="Calibri" w:cs="Times New Roman"/>
          <w:color w:val="000000"/>
          <w:u w:color="000000"/>
        </w:rPr>
        <w:t>545.</w:t>
      </w:r>
      <w:r>
        <w:rPr>
          <w:rFonts w:cs="Times New Roman"/>
          <w:color w:val="000000" w:themeColor="text1"/>
          <w:u w:color="000000" w:themeColor="text1"/>
        </w:rPr>
        <w:t>”</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5.</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80 of the 1976 Code is amended to read:</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(A)</w:t>
      </w:r>
      <w:r>
        <w:rPr>
          <w:rFonts w:eastAsia="Calibri" w:cs="Times New Roman"/>
          <w:color w:val="000000"/>
          <w:u w:color="000000"/>
        </w:rPr>
        <w:tab/>
        <w:t xml:space="preserve">The commission shall </w:t>
      </w:r>
      <w:r>
        <w:rPr>
          <w:rFonts w:eastAsia="Calibri" w:cs="Times New Roman"/>
          <w:strike/>
          <w:color w:val="000000"/>
          <w:u w:color="000000"/>
        </w:rPr>
        <w:t>make nominations</w:t>
      </w:r>
      <w:r>
        <w:rPr>
          <w:rFonts w:eastAsia="Calibri" w:cs="Times New Roman"/>
          <w:color w:val="000000"/>
          <w:u w:color="000000"/>
        </w:rPr>
        <w:t xml:space="preserve"> </w:t>
      </w:r>
      <w:r>
        <w:rPr>
          <w:rFonts w:eastAsia="Calibri" w:cs="Times New Roman"/>
          <w:color w:val="000000"/>
          <w:u w:val="single" w:color="000000"/>
        </w:rPr>
        <w:t>release</w:t>
      </w:r>
      <w:r>
        <w:rPr>
          <w:rFonts w:eastAsia="Calibri" w:cs="Times New Roman"/>
          <w:color w:val="000000"/>
          <w:u w:color="000000"/>
        </w:rPr>
        <w:t xml:space="preserve"> to the General Assembly </w:t>
      </w:r>
      <w:r>
        <w:rPr>
          <w:rFonts w:eastAsia="Calibri" w:cs="Times New Roman"/>
          <w:strike/>
          <w:color w:val="000000"/>
          <w:u w:color="000000"/>
        </w:rPr>
        <w:t>of candidates and their qualifications</w:t>
      </w:r>
      <w:r>
        <w:rPr>
          <w:rFonts w:eastAsia="Calibri" w:cs="Times New Roman"/>
          <w:color w:val="000000"/>
          <w:u w:color="000000"/>
        </w:rPr>
        <w:t xml:space="preserve"> </w:t>
      </w:r>
      <w:r>
        <w:rPr>
          <w:rFonts w:eastAsia="Calibri" w:cs="Times New Roman"/>
          <w:color w:val="000000"/>
          <w:u w:val="single" w:color="000000"/>
        </w:rPr>
        <w:t>a list of the names of all candidates that are qualified, as provided in Sections 15 and 27, Article V of the Constitution of this State and Section 2</w:t>
      </w:r>
      <w:r>
        <w:rPr>
          <w:rFonts w:cs="Times New Roman"/>
          <w:color w:val="000000" w:themeColor="text1"/>
          <w:u w:val="single" w:color="000000" w:themeColor="text1"/>
        </w:rPr>
        <w:noBreakHyphen/>
      </w:r>
      <w:r>
        <w:rPr>
          <w:rFonts w:eastAsia="Calibri" w:cs="Times New Roman"/>
          <w:color w:val="000000"/>
          <w:u w:val="single" w:color="000000"/>
        </w:rPr>
        <w:t>19</w:t>
      </w:r>
      <w:r>
        <w:rPr>
          <w:rFonts w:cs="Times New Roman"/>
          <w:color w:val="000000" w:themeColor="text1"/>
          <w:u w:val="single" w:color="000000" w:themeColor="text1"/>
        </w:rPr>
        <w:noBreakHyphen/>
      </w:r>
      <w:r>
        <w:rPr>
          <w:rFonts w:eastAsia="Calibri" w:cs="Times New Roman"/>
          <w:color w:val="000000"/>
          <w:u w:val="single" w:color="000000"/>
        </w:rPr>
        <w:t>35,</w:t>
      </w:r>
      <w:r>
        <w:rPr>
          <w:rFonts w:eastAsia="Calibri" w:cs="Times New Roman"/>
          <w:color w:val="000000"/>
          <w:u w:color="000000"/>
        </w:rPr>
        <w:t xml:space="preserve"> for election to the Supreme Court, court of appeals, circuit court, family court, and the administrative law judge division.  </w:t>
      </w:r>
      <w:r>
        <w:rPr>
          <w:rFonts w:eastAsia="Calibri" w:cs="Times New Roman"/>
          <w:strike/>
          <w:color w:val="000000"/>
          <w:u w:color="000000"/>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 xml:space="preserve">The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of the commission for any judgeship </w:t>
      </w:r>
      <w:r>
        <w:rPr>
          <w:rFonts w:eastAsia="Calibri" w:cs="Times New Roman"/>
          <w:strike/>
          <w:color w:val="000000"/>
          <w:u w:color="000000"/>
        </w:rPr>
        <w:t>are</w:t>
      </w:r>
      <w:r>
        <w:rPr>
          <w:rFonts w:eastAsia="Calibri" w:cs="Times New Roman"/>
          <w:color w:val="000000"/>
          <w:u w:color="000000"/>
        </w:rPr>
        <w:t xml:space="preserve"> </w:t>
      </w:r>
      <w:r>
        <w:rPr>
          <w:rFonts w:eastAsia="Calibri" w:cs="Times New Roman"/>
          <w:color w:val="000000"/>
          <w:u w:val="single" w:color="000000"/>
        </w:rPr>
        <w:t>is</w:t>
      </w:r>
      <w:r>
        <w:rPr>
          <w:rFonts w:eastAsia="Calibri" w:cs="Times New Roman"/>
          <w:color w:val="000000"/>
          <w:u w:color="000000"/>
        </w:rPr>
        <w:t xml:space="preserve"> binding on the General Assembly, and it shall not elect a person not </w:t>
      </w:r>
      <w:r>
        <w:rPr>
          <w:rFonts w:eastAsia="Calibri" w:cs="Times New Roman"/>
          <w:strike/>
          <w:color w:val="000000"/>
          <w:u w:color="000000"/>
        </w:rPr>
        <w:t>nominated</w:t>
      </w:r>
      <w:r>
        <w:rPr>
          <w:rFonts w:eastAsia="Calibri" w:cs="Times New Roman"/>
          <w:color w:val="000000"/>
          <w:u w:color="000000"/>
        </w:rPr>
        <w:t xml:space="preserve"> </w:t>
      </w:r>
      <w:r>
        <w:rPr>
          <w:rFonts w:eastAsia="Calibri" w:cs="Times New Roman"/>
          <w:color w:val="000000"/>
          <w:u w:val="single" w:color="000000"/>
        </w:rPr>
        <w:t>found qualified</w:t>
      </w:r>
      <w:r>
        <w:rPr>
          <w:rFonts w:eastAsia="Calibri" w:cs="Times New Roman"/>
          <w:color w:val="000000"/>
          <w:u w:color="000000"/>
        </w:rPr>
        <w:t xml:space="preserve"> by the commission.  </w:t>
      </w:r>
      <w:r>
        <w:rPr>
          <w:rFonts w:eastAsia="Calibri" w:cs="Times New Roman"/>
          <w:strike/>
          <w:color w:val="000000"/>
          <w:u w:color="000000"/>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(C)(1)</w:t>
      </w:r>
      <w:r>
        <w:rPr>
          <w:rFonts w:eastAsia="Calibri" w:cs="Times New Roman"/>
          <w:color w:val="000000"/>
          <w:u w:color="000000"/>
        </w:rPr>
        <w:tab/>
        <w:t>If the commission does not find the incumbent justice or judge qualified for the judicial office held and sought, his name shall not be submitted to the General Assembly for re</w:t>
      </w:r>
      <w:r>
        <w:rPr>
          <w:rFonts w:cs="Times New Roman"/>
          <w:color w:val="000000" w:themeColor="text1"/>
          <w:u w:color="000000" w:themeColor="text1"/>
        </w:rPr>
        <w:noBreakHyphen/>
      </w:r>
      <w:r>
        <w:rPr>
          <w:rFonts w:eastAsia="Calibri" w:cs="Times New Roman"/>
          <w:color w:val="000000"/>
          <w:u w:color="000000"/>
        </w:rPr>
        <w:t>election and upon expiration of his then current term of office, he shall cease serving in that judicial position.</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rFonts w:eastAsia="Calibri" w:cs="Times New Roman"/>
          <w:strike/>
          <w:color w:val="000000"/>
          <w:u w:color="000000"/>
        </w:rPr>
        <w:t>to make other nominations for the office</w:t>
      </w:r>
      <w:r>
        <w:rPr>
          <w:rFonts w:eastAsia="Calibri" w:cs="Times New Roman"/>
          <w:color w:val="000000"/>
          <w:u w:color="000000"/>
        </w:rPr>
        <w:t xml:space="preserve"> as though a new vacancy without an incumbent exists in that office, including reopening the application process with all required notices.  Nothing prevents the commission from including in its new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the names and qualifications of persons other than the incumbent judge it included in its previous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list</w:t>
      </w:r>
      <w:r>
        <w:rPr>
          <w:rFonts w:eastAsia="Calibri" w:cs="Times New Roman"/>
          <w:color w:val="000000"/>
          <w:u w:color="000000"/>
        </w:rPr>
        <w:t>.</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(D)</w:t>
      </w:r>
      <w:r>
        <w:rPr>
          <w:rFonts w:eastAsia="Calibri" w:cs="Times New Roman"/>
          <w:color w:val="000000"/>
          <w:u w:color="000000"/>
        </w:rPr>
        <w:tab/>
        <w:t xml:space="preserve">The commission shall accompany its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to the General Assembly with reports or recommendations as to the qualifications of particular candidates.</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(E)</w:t>
      </w:r>
      <w:r>
        <w:rPr>
          <w:rFonts w:eastAsia="Calibri" w:cs="Times New Roman"/>
          <w:color w:val="000000"/>
          <w:u w:color="000000"/>
        </w:rPr>
        <w:tab/>
        <w:t>A period of at least two weeks must elapse between the date of the commission</w:t>
      </w:r>
      <w:r>
        <w:rPr>
          <w:rFonts w:cs="Times New Roman"/>
          <w:color w:val="000000" w:themeColor="text1"/>
          <w:u w:color="000000" w:themeColor="text1"/>
        </w:rPr>
        <w:t>’</w:t>
      </w:r>
      <w:r>
        <w:rPr>
          <w:rFonts w:eastAsia="Calibri" w:cs="Times New Roman"/>
          <w:color w:val="000000"/>
          <w:u w:color="000000"/>
        </w:rPr>
        <w:t xml:space="preserve">s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release of its list of qualified candidates</w:t>
      </w:r>
      <w:r>
        <w:rPr>
          <w:rFonts w:eastAsia="Calibri" w:cs="Times New Roman"/>
          <w:color w:val="000000"/>
          <w:u w:color="000000"/>
        </w:rPr>
        <w:t xml:space="preserve"> to the General Assembly and the date the General Assembly conducts the election for these judgeships.</w:t>
      </w:r>
      <w:r>
        <w:rPr>
          <w:rFonts w:cs="Times New Roman"/>
          <w:color w:val="000000" w:themeColor="text1"/>
          <w:u w:color="000000" w:themeColor="text1"/>
        </w:rPr>
        <w:t>”</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6.</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90 of the 1976 Code is amended to read:</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Pr>
          <w:rFonts w:cs="Times New Roman"/>
          <w:color w:val="000000" w:themeColor="text1"/>
          <w:u w:color="000000" w:themeColor="text1"/>
        </w:rPr>
        <w:t>’</w:t>
      </w:r>
      <w:r>
        <w:rPr>
          <w:rFonts w:eastAsia="Calibri" w:cs="Times New Roman"/>
          <w:color w:val="000000"/>
          <w:u w:color="000000"/>
        </w:rPr>
        <w:t xml:space="preserve">s </w:t>
      </w:r>
      <w:r>
        <w:rPr>
          <w:rFonts w:eastAsia="Calibri" w:cs="Times New Roman"/>
          <w:strike/>
          <w:color w:val="000000"/>
          <w:u w:color="000000"/>
        </w:rPr>
        <w:t>nominees</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r>
        <w:rPr>
          <w:rFonts w:cs="Times New Roman"/>
          <w:color w:val="000000" w:themeColor="text1"/>
          <w:u w:color="000000" w:themeColor="text1"/>
        </w:rPr>
        <w:t>”</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7.</w:t>
      </w:r>
      <w:r>
        <w:rPr>
          <w:rFonts w:eastAsia="Calibri" w:cs="Times New Roman"/>
          <w:bCs/>
          <w:color w:val="000000"/>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81526" w:rsidRDefault="00A8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8.</w:t>
      </w:r>
      <w:r>
        <w:rPr>
          <w:rFonts w:eastAsia="Times New Roman" w:cs="Times New Roman"/>
        </w:rPr>
        <w:tab/>
        <w:t>This act takes effect upon approval by the Governor.</w:t>
      </w:r>
    </w:p>
    <w:p w:rsidR="00A81526" w:rsidRDefault="00E0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81526" w:rsidSect="00A815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526" w:rsidRDefault="00E04A6D">
      <w:r>
        <w:separator/>
      </w:r>
    </w:p>
  </w:endnote>
  <w:endnote w:type="continuationSeparator" w:id="0">
    <w:p w:rsidR="00A81526" w:rsidRDefault="00E04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3C1701-027B-46CE-8B78-6BAAE0D80661}"/>
    <w:embedBold r:id="rId2" w:fontKey="{6E26C1F8-3E66-41B8-B2DF-C223D120958C}"/>
  </w:font>
  <w:font w:name="Calibri">
    <w:panose1 w:val="020F0502020204030204"/>
    <w:charset w:val="00"/>
    <w:family w:val="swiss"/>
    <w:pitch w:val="variable"/>
    <w:sig w:usb0="E10002FF" w:usb1="4000ACFF" w:usb2="00000009" w:usb3="00000000" w:csb0="0000019F" w:csb1="00000000"/>
    <w:embedRegular r:id="rId3" w:fontKey="{DE514C07-BA9E-40D3-9CC8-EECFF816699D}"/>
    <w:embedBold r:id="rId4" w:fontKey="{88EDAB6F-81A5-4033-9CB8-F1C7CCD29E46}"/>
  </w:font>
  <w:font w:name="Tahoma">
    <w:panose1 w:val="020B0604030504040204"/>
    <w:charset w:val="00"/>
    <w:family w:val="swiss"/>
    <w:pitch w:val="variable"/>
    <w:sig w:usb0="21002A87" w:usb1="80000000" w:usb2="00000008" w:usb3="00000000" w:csb0="000101FF" w:csb1="00000000"/>
    <w:embedRegular r:id="rId5" w:fontKey="{6164CD2A-B51C-4D56-A802-453859EEC02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5F0BA9B-83FA-451B-94B7-A2F4A7299F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526" w:rsidRDefault="00E04A6D">
    <w:pPr>
      <w:pStyle w:val="Footer"/>
      <w:tabs>
        <w:tab w:val="clear" w:pos="4680"/>
        <w:tab w:val="clear" w:pos="9360"/>
        <w:tab w:val="center" w:pos="2995"/>
      </w:tabs>
      <w:spacing w:before="120"/>
    </w:pPr>
    <w:r>
      <w:t>[283]</w:t>
    </w:r>
    <w:r>
      <w:tab/>
    </w:r>
    <w:r w:rsidR="006D3A08">
      <w:fldChar w:fldCharType="begin"/>
    </w:r>
    <w:r w:rsidR="006D3A08">
      <w:instrText xml:space="preserve"> PAGE  \* MERGEFORMAT </w:instrText>
    </w:r>
    <w:r w:rsidR="006D3A08">
      <w:fldChar w:fldCharType="separate"/>
    </w:r>
    <w:r w:rsidR="006D3A08">
      <w:rPr>
        <w:noProof/>
      </w:rPr>
      <w:t>1</w:t>
    </w:r>
    <w:r w:rsidR="006D3A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526" w:rsidRDefault="00E04A6D">
      <w:r>
        <w:separator/>
      </w:r>
    </w:p>
  </w:footnote>
  <w:footnote w:type="continuationSeparator" w:id="0">
    <w:p w:rsidR="00A81526" w:rsidRDefault="00E04A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81526"/>
    <w:rsid w:val="00573203"/>
    <w:rsid w:val="006D3A08"/>
    <w:rsid w:val="00771BAA"/>
    <w:rsid w:val="00A512FC"/>
    <w:rsid w:val="00A81526"/>
    <w:rsid w:val="00E04A6D"/>
    <w:rsid w:val="00EA4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8BAB4B-08E1-4EF4-9146-95F222E6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5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81526"/>
    <w:rPr>
      <w:szCs w:val="21"/>
    </w:rPr>
  </w:style>
  <w:style w:type="character" w:customStyle="1" w:styleId="PlainTextChar">
    <w:name w:val="Plain Text Char"/>
    <w:basedOn w:val="DefaultParagraphFont"/>
    <w:link w:val="PlainText"/>
    <w:uiPriority w:val="99"/>
    <w:rsid w:val="00A81526"/>
    <w:rPr>
      <w:szCs w:val="21"/>
    </w:rPr>
  </w:style>
  <w:style w:type="paragraph" w:styleId="BodyText">
    <w:name w:val="Body Text"/>
    <w:basedOn w:val="Normal"/>
    <w:link w:val="BodyTextChar"/>
    <w:uiPriority w:val="99"/>
    <w:locked/>
    <w:rsid w:val="00A81526"/>
  </w:style>
  <w:style w:type="character" w:customStyle="1" w:styleId="BodyTextChar">
    <w:name w:val="Body Text Char"/>
    <w:basedOn w:val="DefaultParagraphFont"/>
    <w:link w:val="BodyText"/>
    <w:uiPriority w:val="99"/>
    <w:rsid w:val="00A81526"/>
  </w:style>
  <w:style w:type="paragraph" w:styleId="BalloonText">
    <w:name w:val="Balloon Text"/>
    <w:next w:val="Normal"/>
    <w:link w:val="BalloonTextChar"/>
    <w:uiPriority w:val="99"/>
    <w:unhideWhenUsed/>
    <w:rsid w:val="00A81526"/>
    <w:rPr>
      <w:rFonts w:cs="Tahoma"/>
      <w:szCs w:val="16"/>
    </w:rPr>
  </w:style>
  <w:style w:type="character" w:customStyle="1" w:styleId="BalloonTextChar">
    <w:name w:val="Balloon Text Char"/>
    <w:basedOn w:val="DefaultParagraphFont"/>
    <w:link w:val="BalloonText"/>
    <w:uiPriority w:val="99"/>
    <w:rsid w:val="00A81526"/>
    <w:rPr>
      <w:rFonts w:cs="Tahoma"/>
      <w:szCs w:val="16"/>
    </w:rPr>
  </w:style>
  <w:style w:type="paragraph" w:styleId="NormalWeb">
    <w:name w:val="Normal (Web)"/>
    <w:basedOn w:val="Normal"/>
    <w:next w:val="Normal"/>
    <w:semiHidden/>
    <w:locked/>
    <w:rsid w:val="00A8152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8152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81526"/>
    <w:rPr>
      <w:rFonts w:cs="Times New Roman"/>
    </w:rPr>
  </w:style>
  <w:style w:type="paragraph" w:styleId="Header">
    <w:name w:val="header"/>
    <w:basedOn w:val="Normal"/>
    <w:link w:val="HeaderChar"/>
    <w:uiPriority w:val="99"/>
    <w:semiHidden/>
    <w:unhideWhenUsed/>
    <w:locked/>
    <w:rsid w:val="00A81526"/>
    <w:pPr>
      <w:tabs>
        <w:tab w:val="center" w:pos="4680"/>
        <w:tab w:val="right" w:pos="9360"/>
      </w:tabs>
    </w:pPr>
  </w:style>
  <w:style w:type="character" w:customStyle="1" w:styleId="HeaderChar">
    <w:name w:val="Header Char"/>
    <w:basedOn w:val="DefaultParagraphFont"/>
    <w:link w:val="Header"/>
    <w:uiPriority w:val="99"/>
    <w:semiHidden/>
    <w:rsid w:val="00A81526"/>
  </w:style>
  <w:style w:type="character" w:styleId="LineNumber">
    <w:name w:val="line number"/>
    <w:basedOn w:val="DefaultParagraphFont"/>
    <w:uiPriority w:val="99"/>
    <w:semiHidden/>
    <w:unhideWhenUsed/>
    <w:locked/>
    <w:rsid w:val="00A81526"/>
  </w:style>
  <w:style w:type="character" w:styleId="Hyperlink">
    <w:name w:val="Hyperlink"/>
    <w:basedOn w:val="DefaultParagraphFont"/>
    <w:uiPriority w:val="99"/>
    <w:unhideWhenUsed/>
    <w:locked/>
    <w:rsid w:val="00A815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83_20090115.docx" TargetMode="Externa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2519</Words>
  <Characters>13414</Characters>
  <Application>Microsoft Office Word</Application>
  <DocSecurity>0</DocSecurity>
  <Lines>334</Lines>
  <Paragraphs>78</Paragraphs>
  <ScaleCrop>false</ScaleCrop>
  <Company>Project Management</Company>
  <LinksUpToDate>false</LinksUpToDate>
  <CharactersWithSpaces>15967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283: Judicial Merit Selection Commission - South Carolina Legislature Online</dc:title>
  <dc:subject/>
  <dc:creator>NSC</dc:creator>
  <cp:keywords/>
  <dc:description/>
  <cp:lastModifiedBy>N Cumfer</cp:lastModifiedBy>
  <cp:revision>11</cp:revision>
  <dcterms:created xsi:type="dcterms:W3CDTF">2009-01-15T16:43:00Z</dcterms:created>
  <dcterms:modified xsi:type="dcterms:W3CDTF">2014-11-24T14:56:00Z</dcterms:modified>
</cp:coreProperties>
</file>