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748" w:rsidRDefault="002E435C">
      <w:pPr>
        <w:widowControl w:val="0"/>
        <w:jc w:val="center"/>
        <w:rPr>
          <w:rFonts w:cs="Times New Roman"/>
        </w:rPr>
      </w:pPr>
      <w:bookmarkStart w:id="0" w:name="_GoBack"/>
      <w:bookmarkEnd w:id="0"/>
      <w:r>
        <w:rPr>
          <w:rFonts w:cs="Times New Roman"/>
          <w:b/>
        </w:rPr>
        <w:t>South Carolina General Assembly</w:t>
      </w:r>
    </w:p>
    <w:p w:rsidR="00F07748" w:rsidRDefault="002E435C">
      <w:pPr>
        <w:widowControl w:val="0"/>
        <w:jc w:val="center"/>
        <w:rPr>
          <w:rFonts w:cs="Times New Roman"/>
        </w:rPr>
      </w:pPr>
      <w:r>
        <w:rPr>
          <w:rFonts w:cs="Times New Roman"/>
        </w:rPr>
        <w:t>118th Session, 2009-2010</w:t>
      </w:r>
    </w:p>
    <w:p w:rsidR="00F07748" w:rsidRDefault="00F07748">
      <w:pPr>
        <w:widowControl w:val="0"/>
        <w:jc w:val="left"/>
        <w:rPr>
          <w:rFonts w:cs="Times New Roman"/>
        </w:rPr>
      </w:pPr>
    </w:p>
    <w:p w:rsidR="00F07748" w:rsidRDefault="002E435C">
      <w:pPr>
        <w:widowControl w:val="0"/>
        <w:jc w:val="left"/>
        <w:rPr>
          <w:rFonts w:cs="Times New Roman"/>
          <w:b/>
        </w:rPr>
      </w:pPr>
      <w:r>
        <w:rPr>
          <w:rFonts w:cs="Times New Roman"/>
          <w:b/>
        </w:rPr>
        <w:t>S. 284</w:t>
      </w:r>
    </w:p>
    <w:p w:rsidR="00F07748" w:rsidRDefault="00F07748">
      <w:pPr>
        <w:widowControl w:val="0"/>
        <w:jc w:val="left"/>
        <w:rPr>
          <w:rFonts w:cs="Times New Roman"/>
          <w:b/>
        </w:rPr>
      </w:pPr>
    </w:p>
    <w:p w:rsidR="00F07748" w:rsidRDefault="002E435C">
      <w:pPr>
        <w:widowControl w:val="0"/>
        <w:jc w:val="left"/>
        <w:rPr>
          <w:rFonts w:cs="Times New Roman"/>
        </w:rPr>
      </w:pPr>
      <w:r>
        <w:rPr>
          <w:rFonts w:cs="Times New Roman"/>
          <w:b/>
        </w:rPr>
        <w:t>STATUS INFORMATION</w:t>
      </w:r>
    </w:p>
    <w:p w:rsidR="00F07748" w:rsidRDefault="00F07748">
      <w:pPr>
        <w:widowControl w:val="0"/>
        <w:jc w:val="left"/>
        <w:rPr>
          <w:rFonts w:cs="Times New Roman"/>
        </w:rPr>
      </w:pPr>
    </w:p>
    <w:p w:rsidR="00F07748" w:rsidRDefault="002E435C">
      <w:pPr>
        <w:widowControl w:val="0"/>
        <w:jc w:val="left"/>
        <w:rPr>
          <w:rFonts w:cs="Times New Roman"/>
        </w:rPr>
      </w:pPr>
      <w:r>
        <w:rPr>
          <w:rFonts w:cs="Times New Roman"/>
        </w:rPr>
        <w:t>General Bill</w:t>
      </w:r>
    </w:p>
    <w:p w:rsidR="00F07748" w:rsidRDefault="002E435C">
      <w:pPr>
        <w:widowControl w:val="0"/>
        <w:jc w:val="left"/>
        <w:rPr>
          <w:rFonts w:cs="Times New Roman"/>
        </w:rPr>
      </w:pPr>
      <w:r>
        <w:rPr>
          <w:rFonts w:cs="Times New Roman"/>
        </w:rPr>
        <w:t>Sponsors: Senators Alexander, L. Martin, Campbell and Campsen</w:t>
      </w:r>
    </w:p>
    <w:p w:rsidR="00F07748" w:rsidRDefault="002E435C">
      <w:pPr>
        <w:widowControl w:val="0"/>
        <w:jc w:val="left"/>
        <w:rPr>
          <w:rFonts w:cs="Times New Roman"/>
        </w:rPr>
      </w:pPr>
      <w:r>
        <w:rPr>
          <w:rFonts w:cs="Times New Roman"/>
        </w:rPr>
        <w:t>Document Path: l:\council\bills\ms\7134ac09.docx</w:t>
      </w:r>
    </w:p>
    <w:p w:rsidR="00F07748" w:rsidRDefault="002E435C">
      <w:pPr>
        <w:widowControl w:val="0"/>
        <w:jc w:val="left"/>
        <w:rPr>
          <w:rFonts w:cs="Times New Roman"/>
        </w:rPr>
      </w:pPr>
      <w:r>
        <w:rPr>
          <w:rFonts w:cs="Times New Roman"/>
        </w:rPr>
        <w:t>Companion/Similar bill(s): 3311</w:t>
      </w:r>
    </w:p>
    <w:p w:rsidR="00F07748" w:rsidRDefault="00F07748">
      <w:pPr>
        <w:widowControl w:val="0"/>
        <w:jc w:val="left"/>
        <w:rPr>
          <w:rFonts w:cs="Times New Roman"/>
        </w:rPr>
      </w:pPr>
    </w:p>
    <w:p w:rsidR="00F07748" w:rsidRDefault="002E435C">
      <w:pPr>
        <w:widowControl w:val="0"/>
        <w:jc w:val="left"/>
        <w:rPr>
          <w:rFonts w:cs="Times New Roman"/>
        </w:rPr>
      </w:pPr>
      <w:r>
        <w:rPr>
          <w:rFonts w:cs="Times New Roman"/>
        </w:rPr>
        <w:t>Introduced in the Senate on January 15, 2009</w:t>
      </w:r>
    </w:p>
    <w:p w:rsidR="00F07748" w:rsidRDefault="002E435C">
      <w:pPr>
        <w:widowControl w:val="0"/>
        <w:jc w:val="left"/>
        <w:rPr>
          <w:rFonts w:cs="Times New Roman"/>
        </w:rPr>
      </w:pPr>
      <w:r>
        <w:rPr>
          <w:rFonts w:cs="Times New Roman"/>
        </w:rPr>
        <w:t xml:space="preserve">Currently residing in the Senate Committee on </w:t>
      </w:r>
      <w:r>
        <w:rPr>
          <w:rFonts w:cs="Times New Roman"/>
          <w:b/>
        </w:rPr>
        <w:t>Judiciary</w:t>
      </w:r>
    </w:p>
    <w:p w:rsidR="00F07748" w:rsidRDefault="00F07748">
      <w:pPr>
        <w:widowControl w:val="0"/>
        <w:jc w:val="left"/>
        <w:rPr>
          <w:rFonts w:cs="Times New Roman"/>
        </w:rPr>
      </w:pPr>
    </w:p>
    <w:p w:rsidR="00F07748" w:rsidRDefault="002E435C">
      <w:pPr>
        <w:widowControl w:val="0"/>
        <w:jc w:val="left"/>
        <w:rPr>
          <w:rFonts w:cs="Times New Roman"/>
        </w:rPr>
      </w:pPr>
      <w:r>
        <w:rPr>
          <w:rFonts w:cs="Times New Roman"/>
        </w:rPr>
        <w:t>Summary: Parental rights</w:t>
      </w:r>
    </w:p>
    <w:p w:rsidR="00F07748" w:rsidRDefault="00F07748">
      <w:pPr>
        <w:widowControl w:val="0"/>
        <w:jc w:val="left"/>
        <w:rPr>
          <w:rFonts w:cs="Times New Roman"/>
        </w:rPr>
      </w:pPr>
    </w:p>
    <w:p w:rsidR="00F07748" w:rsidRDefault="00F07748">
      <w:pPr>
        <w:widowControl w:val="0"/>
        <w:jc w:val="left"/>
        <w:rPr>
          <w:rFonts w:cs="Times New Roman"/>
        </w:rPr>
      </w:pPr>
    </w:p>
    <w:p w:rsidR="00F07748" w:rsidRDefault="002E435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07748" w:rsidRDefault="00F07748">
      <w:pPr>
        <w:widowControl w:val="0"/>
        <w:tabs>
          <w:tab w:val="center" w:pos="590"/>
          <w:tab w:val="center" w:pos="1440"/>
          <w:tab w:val="left" w:pos="1872"/>
          <w:tab w:val="left" w:pos="9187"/>
        </w:tabs>
        <w:jc w:val="left"/>
        <w:rPr>
          <w:rFonts w:cs="Times New Roman"/>
        </w:rPr>
      </w:pPr>
    </w:p>
    <w:p w:rsidR="00F07748" w:rsidRDefault="002E435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D676C9">
          <w:rPr>
            <w:rStyle w:val="Hyperlink"/>
            <w:rFonts w:cs="Times New Roman"/>
          </w:rPr>
          <w:t>SJ</w:t>
        </w:r>
      </w:hyperlink>
      <w:r>
        <w:rPr>
          <w:rFonts w:cs="Times New Roman"/>
        </w:rPr>
        <w:noBreakHyphen/>
        <w:t>8</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676C9">
          <w:rPr>
            <w:rStyle w:val="Hyperlink"/>
            <w:rFonts w:cs="Times New Roman"/>
          </w:rPr>
          <w:t>SJ</w:t>
        </w:r>
      </w:hyperlink>
      <w:r>
        <w:rPr>
          <w:rFonts w:cs="Times New Roman"/>
        </w:rPr>
        <w:noBreakHyphen/>
        <w:t>8</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Sheheen (ch), Knotts, Campsen, Lourie, Campbell</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3/18/2009</w:t>
      </w:r>
      <w:r>
        <w:rPr>
          <w:rFonts w:cs="Times New Roman"/>
        </w:rPr>
        <w:tab/>
        <w:t>Senate</w:t>
      </w:r>
      <w:r>
        <w:rPr>
          <w:rFonts w:cs="Times New Roman"/>
        </w:rPr>
        <w:tab/>
        <w:t xml:space="preserve">Committee report: Favorable with amendment </w:t>
      </w:r>
      <w:r>
        <w:rPr>
          <w:rFonts w:cs="Times New Roman"/>
          <w:b/>
        </w:rPr>
        <w:t>Judiciary</w:t>
      </w:r>
      <w:r>
        <w:rPr>
          <w:rFonts w:cs="Times New Roman"/>
        </w:rPr>
        <w:t xml:space="preserve"> </w:t>
      </w:r>
      <w:hyperlink r:id="rId8" w:history="1">
        <w:r w:rsidRPr="00D676C9">
          <w:rPr>
            <w:rStyle w:val="Hyperlink"/>
            <w:rFonts w:cs="Times New Roman"/>
          </w:rPr>
          <w:t>SJ</w:t>
        </w:r>
      </w:hyperlink>
      <w:r>
        <w:rPr>
          <w:rFonts w:cs="Times New Roman"/>
        </w:rPr>
        <w:noBreakHyphen/>
        <w:t>1</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3/19/2009</w:t>
      </w:r>
      <w:r>
        <w:rPr>
          <w:rFonts w:cs="Times New Roman"/>
        </w:rPr>
        <w:tab/>
      </w:r>
      <w:r>
        <w:rPr>
          <w:rFonts w:cs="Times New Roman"/>
        </w:rPr>
        <w:tab/>
        <w:t>Scrivener's error corrected</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4/14/2009</w:t>
      </w:r>
      <w:r>
        <w:rPr>
          <w:rFonts w:cs="Times New Roman"/>
        </w:rPr>
        <w:tab/>
        <w:t>Senate</w:t>
      </w:r>
      <w:r>
        <w:rPr>
          <w:rFonts w:cs="Times New Roman"/>
        </w:rPr>
        <w:tab/>
        <w:t xml:space="preserve">Committee Amendment Adopted </w:t>
      </w:r>
      <w:hyperlink r:id="rId9" w:history="1">
        <w:r w:rsidRPr="00D676C9">
          <w:rPr>
            <w:rStyle w:val="Hyperlink"/>
            <w:rFonts w:cs="Times New Roman"/>
          </w:rPr>
          <w:t>SJ</w:t>
        </w:r>
      </w:hyperlink>
      <w:r>
        <w:rPr>
          <w:rFonts w:cs="Times New Roman"/>
        </w:rPr>
        <w:noBreakHyphen/>
        <w:t>42</w:t>
      </w:r>
    </w:p>
    <w:p w:rsidR="00F07748" w:rsidRDefault="002E435C">
      <w:pPr>
        <w:widowControl w:val="0"/>
        <w:tabs>
          <w:tab w:val="right" w:pos="1008"/>
          <w:tab w:val="left" w:pos="1152"/>
          <w:tab w:val="left" w:pos="1872"/>
          <w:tab w:val="left" w:pos="9187"/>
        </w:tabs>
        <w:ind w:left="2088" w:hanging="2088"/>
        <w:jc w:val="left"/>
        <w:rPr>
          <w:rFonts w:cs="Times New Roman"/>
        </w:rPr>
      </w:pPr>
      <w:r>
        <w:rPr>
          <w:rFonts w:cs="Times New Roman"/>
        </w:rPr>
        <w:tab/>
        <w:t>4/15/2009</w:t>
      </w:r>
      <w:r>
        <w:rPr>
          <w:rFonts w:cs="Times New Roman"/>
        </w:rPr>
        <w:tab/>
      </w:r>
      <w:r>
        <w:rPr>
          <w:rFonts w:cs="Times New Roman"/>
        </w:rPr>
        <w:tab/>
        <w:t>Scrivener's error corrected</w:t>
      </w:r>
    </w:p>
    <w:p w:rsidR="00F07748" w:rsidRDefault="002E435C">
      <w:pPr>
        <w:widowControl w:val="0"/>
        <w:tabs>
          <w:tab w:val="right" w:pos="1008"/>
          <w:tab w:val="left" w:pos="1152"/>
          <w:tab w:val="left" w:pos="1872"/>
          <w:tab w:val="left" w:pos="9187"/>
        </w:tabs>
        <w:ind w:left="2088" w:hanging="2088"/>
        <w:jc w:val="left"/>
        <w:rPr>
          <w:rFonts w:cs="Times New Roman"/>
          <w:b/>
        </w:rPr>
      </w:pPr>
      <w:r>
        <w:rPr>
          <w:rFonts w:cs="Times New Roman"/>
        </w:rPr>
        <w:tab/>
        <w:t>4/28/2009</w:t>
      </w:r>
      <w:r>
        <w:rPr>
          <w:rFonts w:cs="Times New Roman"/>
        </w:rPr>
        <w:tab/>
        <w:t>Senate</w:t>
      </w:r>
      <w:r>
        <w:rPr>
          <w:rFonts w:cs="Times New Roman"/>
        </w:rPr>
        <w:tab/>
        <w:t xml:space="preserve">Recommitted to Committee on </w:t>
      </w:r>
      <w:r>
        <w:rPr>
          <w:rFonts w:cs="Times New Roman"/>
          <w:b/>
        </w:rPr>
        <w:t>Judiciary</w:t>
      </w:r>
    </w:p>
    <w:p w:rsidR="00F07748" w:rsidRDefault="00F07748">
      <w:pPr>
        <w:widowControl w:val="0"/>
        <w:tabs>
          <w:tab w:val="right" w:pos="1008"/>
          <w:tab w:val="left" w:pos="1152"/>
          <w:tab w:val="left" w:pos="1872"/>
          <w:tab w:val="left" w:pos="9187"/>
        </w:tabs>
        <w:ind w:left="2088" w:hanging="2088"/>
        <w:jc w:val="left"/>
        <w:rPr>
          <w:rFonts w:cs="Times New Roman"/>
        </w:rPr>
      </w:pPr>
    </w:p>
    <w:p w:rsidR="00F07748" w:rsidRDefault="00F07748">
      <w:pPr>
        <w:widowControl w:val="0"/>
        <w:tabs>
          <w:tab w:val="right" w:pos="1008"/>
          <w:tab w:val="left" w:pos="1152"/>
          <w:tab w:val="left" w:pos="1872"/>
          <w:tab w:val="left" w:pos="9187"/>
        </w:tabs>
        <w:ind w:left="2088" w:hanging="2088"/>
        <w:jc w:val="left"/>
        <w:rPr>
          <w:rFonts w:cs="Times New Roman"/>
        </w:rPr>
      </w:pPr>
    </w:p>
    <w:p w:rsidR="00F07748" w:rsidRDefault="002E435C">
      <w:pPr>
        <w:widowControl w:val="0"/>
        <w:jc w:val="left"/>
        <w:rPr>
          <w:rFonts w:cs="Times New Roman"/>
        </w:rPr>
      </w:pPr>
      <w:r>
        <w:rPr>
          <w:rFonts w:cs="Times New Roman"/>
          <w:b/>
        </w:rPr>
        <w:t>VERSIONS OF THIS BILL</w:t>
      </w:r>
    </w:p>
    <w:p w:rsidR="00F07748" w:rsidRDefault="00F07748">
      <w:pPr>
        <w:widowControl w:val="0"/>
        <w:jc w:val="left"/>
        <w:rPr>
          <w:rFonts w:cs="Times New Roman"/>
        </w:rPr>
      </w:pPr>
    </w:p>
    <w:p w:rsidR="00F07748" w:rsidRDefault="003B60F2">
      <w:pPr>
        <w:widowControl w:val="0"/>
        <w:jc w:val="left"/>
        <w:rPr>
          <w:rFonts w:cs="Times New Roman"/>
        </w:rPr>
      </w:pPr>
      <w:hyperlink r:id="rId10" w:history="1">
        <w:r w:rsidR="002E435C">
          <w:rPr>
            <w:rStyle w:val="Hyperlink"/>
            <w:rFonts w:cs="Times New Roman"/>
          </w:rPr>
          <w:t>1/15/2009</w:t>
        </w:r>
      </w:hyperlink>
    </w:p>
    <w:p w:rsidR="00F07748" w:rsidRDefault="003B60F2">
      <w:hyperlink r:id="rId11" w:history="1">
        <w:r w:rsidR="002E435C">
          <w:rPr>
            <w:rStyle w:val="Hyperlink"/>
          </w:rPr>
          <w:t>3/18/2009</w:t>
        </w:r>
      </w:hyperlink>
    </w:p>
    <w:p w:rsidR="00F07748" w:rsidRDefault="003B60F2">
      <w:hyperlink r:id="rId12" w:history="1">
        <w:r w:rsidR="002E435C">
          <w:rPr>
            <w:rStyle w:val="Hyperlink"/>
          </w:rPr>
          <w:t>3/19/2009</w:t>
        </w:r>
      </w:hyperlink>
    </w:p>
    <w:p w:rsidR="00F07748" w:rsidRDefault="003B60F2">
      <w:hyperlink r:id="rId13" w:history="1">
        <w:r w:rsidR="002E435C">
          <w:rPr>
            <w:rStyle w:val="Hyperlink"/>
          </w:rPr>
          <w:t>4/14/2009</w:t>
        </w:r>
      </w:hyperlink>
    </w:p>
    <w:p w:rsidR="00F07748" w:rsidRDefault="003B60F2">
      <w:hyperlink r:id="rId14" w:history="1">
        <w:r w:rsidR="002E435C">
          <w:rPr>
            <w:rStyle w:val="Hyperlink"/>
          </w:rPr>
          <w:t>4/15/2009</w:t>
        </w:r>
      </w:hyperlink>
    </w:p>
    <w:p w:rsidR="00F07748" w:rsidRDefault="00F07748"/>
    <w:p w:rsidR="00F07748" w:rsidRDefault="00F07748">
      <w:pPr>
        <w:sectPr w:rsidR="00F07748">
          <w:pgSz w:w="12240" w:h="15840" w:code="1"/>
          <w:pgMar w:top="1080" w:right="1440" w:bottom="1080" w:left="1440" w:header="720" w:footer="720" w:gutter="0"/>
          <w:cols w:space="720"/>
          <w:noEndnote/>
          <w:docGrid w:linePitch="360"/>
        </w:sectPr>
      </w:pP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14, 2009</w:t>
      </w: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07748" w:rsidRDefault="002E435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284</w:t>
      </w: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Alexander, L. Martin, Campbell and Campsen</w:t>
      </w: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07748" w:rsidRDefault="002E435C">
      <w:pPr>
        <w:tabs>
          <w:tab w:val="right" w:pos="5933"/>
        </w:tabs>
        <w:suppressAutoHyphens/>
        <w:rPr>
          <w:rFonts w:eastAsia="Times New Roman" w:cs="Times New Roman"/>
          <w:szCs w:val="20"/>
        </w:rPr>
      </w:pPr>
      <w:r>
        <w:rPr>
          <w:rFonts w:eastAsia="Times New Roman" w:cs="Times New Roman"/>
          <w:szCs w:val="20"/>
        </w:rPr>
        <w:t>S. Printed 4/14/09--S.</w:t>
      </w:r>
      <w:r>
        <w:rPr>
          <w:rFonts w:eastAsia="Times New Roman" w:cs="Times New Roman"/>
          <w:szCs w:val="20"/>
        </w:rPr>
        <w:tab/>
        <w:t>[SEC 4/15/09 11:38 AM]</w:t>
      </w:r>
    </w:p>
    <w:p w:rsidR="00F07748" w:rsidRDefault="002E43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07748" w:rsidRDefault="002E435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0774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07748" w:rsidRDefault="00F0774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63 of the 1976 Code is amended by adding:</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8</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Responsible Father Registry</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810.</w:t>
      </w:r>
      <w:r>
        <w:rPr>
          <w:rFonts w:cs="Times New Roman"/>
          <w:color w:val="000000" w:themeColor="text1"/>
          <w:u w:color="000000" w:themeColor="text1"/>
        </w:rPr>
        <w:tab/>
      </w:r>
      <w:r>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820.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There is established within the Department of Social Services the Responsible Father Registry, which the department shall maintain.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As used in this section:</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‘Department’ means the Department of Social Services.</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‘Registrant’ means an unmarried biological father or a male eighteen years of age or older who claims to be the unmarried biological father of a child.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‘Registry’ means the Responsible Father Registry as established by this section.</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‘Unmarried biological father’ means a male eighteen years of age or older who is not married to the biological mother of a child of whom he is or claims to be the natural father.</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Except for a person who is required to receive notice pursuant to Section 63</w:t>
      </w:r>
      <w:r>
        <w:rPr>
          <w:rFonts w:cs="Times New Roman"/>
          <w:color w:val="000000" w:themeColor="text1"/>
          <w:u w:color="000000" w:themeColor="text1"/>
        </w:rPr>
        <w:noBreakHyphen/>
        <w:t>9</w:t>
      </w:r>
      <w:r>
        <w:rPr>
          <w:rFonts w:cs="Times New Roman"/>
          <w:color w:val="000000" w:themeColor="text1"/>
          <w:u w:color="000000" w:themeColor="text1"/>
        </w:rPr>
        <w:noBreakHyphen/>
        <w:t>730(B), an unmarried biological father’s failure to file a claim of paternity with the registry constitutes an implied irrevocable waiver of  the father’s right to be notified of any proceedings pertaining to the termination of his parental rights and to the child’s adoption.  Such waiver includes a waiver of any right of the parent to be named as a party in or served with a summons or any other document prepared in conjunction with a termination of parental rights proceeding or an adoption proceeding.</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claim of paternity must be signed by the registrant and must include:</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registrant’s name, address, and date of birth;</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mother’s name and, if known, her address and date of birth;</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if known, the child’s name, place of birth, and date of birth;</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if known, the date, county, and state of conception of the child; and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the date the claim is filed.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department shall issue a certificate to the registrant verifying that the claim of paternity, revocation, or change of address has been filed.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No fee may be charged for filing a claim of paternity, a revocation, or a change of address with the registry.  The department may charge a fee not to exceed twenty-five dollars for processing searches of the registry.</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(K)</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(L)</w:t>
      </w:r>
      <w:r>
        <w:rPr>
          <w:rFonts w:cs="Times New Roman"/>
          <w:color w:val="000000" w:themeColor="text1"/>
          <w:u w:color="000000" w:themeColor="text1"/>
        </w:rPr>
        <w:tab/>
        <w:t>An unmarried biological father’s failure to file a claim of paternity with the registry is deemed to be a lack of proper diligence under Section 63</w:t>
      </w:r>
      <w:r>
        <w:rPr>
          <w:rFonts w:cs="Times New Roman"/>
          <w:color w:val="000000" w:themeColor="text1"/>
          <w:u w:color="000000" w:themeColor="text1"/>
        </w:rPr>
        <w:noBreakHyphen/>
        <w:t>9</w:t>
      </w:r>
      <w:r>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(M)(1)</w:t>
      </w:r>
      <w:r>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department shall disclose the contents of the registry upon order of a court of competent jurisdiction for good cause shown;</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the department may file a written request with the registry regarding a child for whom the department has an open case for child welfare services;</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 xml:space="preserve">(i) </w:t>
      </w:r>
      <w:r>
        <w:rPr>
          <w:rFonts w:cs="Times New Roman"/>
          <w:color w:val="000000" w:themeColor="text1"/>
          <w:u w:color="000000" w:themeColor="text1"/>
        </w:rPr>
        <w:tab/>
        <w:t>the mother’s name and, if known, her address and date of birth;</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w:t>
      </w:r>
      <w:r>
        <w:rPr>
          <w:rFonts w:cs="Times New Roman"/>
          <w:color w:val="000000" w:themeColor="text1"/>
          <w:u w:color="000000" w:themeColor="text1"/>
        </w:rPr>
        <w:tab/>
        <w:t>if known, the child’s date of birth and place of birth; and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(iii)</w:t>
      </w:r>
      <w:r>
        <w:rPr>
          <w:rFonts w:cs="Times New Roman"/>
          <w:color w:val="000000" w:themeColor="text1"/>
          <w:u w:color="000000" w:themeColor="text1"/>
        </w:rPr>
        <w:tab/>
        <w:t>if known, the date, county, and state of conception of the child.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(N)</w:t>
      </w:r>
      <w:r>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(O)</w:t>
      </w:r>
      <w:r>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(P)</w:t>
      </w:r>
      <w:r>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(Q)</w:t>
      </w:r>
      <w:r>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(R)(1)</w:t>
      </w:r>
      <w:r>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w:t>
      </w:r>
      <w:r>
        <w:rPr>
          <w:rFonts w:cs="Times New Roman"/>
          <w:color w:val="000000" w:themeColor="text1"/>
          <w:u w:color="000000" w:themeColor="text1"/>
        </w:rPr>
        <w:tab/>
        <w:t>The provisions of this section do not apply to military servicemembers on active duty during any period of time that their service falls under the protection of the Servicemembers Civil Relief Act, currently codified at 50 U.S.C.A. Section 501, et seq.”</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63</w:t>
      </w:r>
      <w:r>
        <w:rPr>
          <w:rFonts w:cs="Times New Roman"/>
          <w:color w:val="000000" w:themeColor="text1"/>
          <w:u w:color="000000" w:themeColor="text1"/>
        </w:rPr>
        <w:noBreakHyphen/>
        <w:t>9</w:t>
      </w:r>
      <w:r>
        <w:rPr>
          <w:rFonts w:cs="Times New Roman"/>
          <w:color w:val="000000" w:themeColor="text1"/>
          <w:u w:color="000000" w:themeColor="text1"/>
        </w:rPr>
        <w:noBreakHyphen/>
        <w:t>730(B) of the 1976 Code, as added by Act 361 of 2008, is amended to read:</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“(B)</w:t>
      </w:r>
      <w:r>
        <w:rPr>
          <w:rFonts w:eastAsia="Times New Roman" w:cs="Times New Roman"/>
          <w:color w:val="000000"/>
          <w:szCs w:val="20"/>
        </w:rPr>
        <w:tab/>
        <w:t xml:space="preserve">The following persons or agencies are entitled to notice as provided in subsection (A) </w:t>
      </w:r>
      <w:r>
        <w:rPr>
          <w:rFonts w:eastAsia="Times New Roman" w:cs="Times New Roman"/>
          <w:strike/>
          <w:color w:val="000000"/>
          <w:szCs w:val="20"/>
        </w:rPr>
        <w:t>of this section</w:t>
      </w:r>
      <w:r>
        <w:rPr>
          <w:rFonts w:eastAsia="Times New Roman" w:cs="Times New Roman"/>
          <w:color w:val="000000"/>
          <w:szCs w:val="20"/>
        </w:rPr>
        <w:t xml:space="preserve">: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adjudicated by a court in this State to be the father of the child;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or agency required to give consent or relinquishment pursuant to </w:t>
      </w:r>
      <w:r>
        <w:rPr>
          <w:rFonts w:eastAsia="Times New Roman" w:cs="Times New Roman"/>
          <w:strike/>
          <w:color w:val="000000"/>
          <w:szCs w:val="20"/>
        </w:rPr>
        <w:t>subsections (A) or (B)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310</w:t>
      </w:r>
      <w:r>
        <w:rPr>
          <w:rFonts w:eastAsia="Times New Roman" w:cs="Times New Roman"/>
          <w:color w:val="000000"/>
          <w:szCs w:val="20"/>
          <w:u w:val="single"/>
        </w:rPr>
        <w:t>(A) or (B)</w:t>
      </w:r>
      <w:r>
        <w:rPr>
          <w:rFonts w:eastAsia="Times New Roman" w:cs="Times New Roman"/>
          <w:color w:val="000000"/>
          <w:szCs w:val="20"/>
        </w:rPr>
        <w:t xml:space="preserve"> from whom consent or relinquishment cannot be obtained;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r>
      <w:r>
        <w:rPr>
          <w:rFonts w:eastAsia="Times New Roman" w:cs="Times New Roman"/>
          <w:strike/>
          <w:color w:val="000000"/>
          <w:szCs w:val="20"/>
        </w:rPr>
        <w:t>the father of the child whose consent or relinquishment is not required pursuant to items (4) or (5) of subsection (A) of Section 63</w:t>
      </w:r>
      <w:r>
        <w:rPr>
          <w:rFonts w:eastAsia="Times New Roman" w:cs="Times New Roman"/>
          <w:strike/>
          <w:color w:val="000000"/>
          <w:szCs w:val="20"/>
        </w:rPr>
        <w:noBreakHyphen/>
        <w:t>9</w:t>
      </w:r>
      <w:r>
        <w:rPr>
          <w:rFonts w:eastAsia="Times New Roman" w:cs="Times New Roman"/>
          <w:strike/>
          <w:color w:val="000000"/>
          <w:szCs w:val="20"/>
        </w:rPr>
        <w:noBreakHyphen/>
        <w:t>310</w:t>
      </w:r>
      <w:r>
        <w:rPr>
          <w:rFonts w:eastAsia="Times New Roman" w:cs="Times New Roman"/>
          <w:color w:val="000000"/>
          <w:szCs w:val="20"/>
        </w:rPr>
        <w:t xml:space="preserve"> </w:t>
      </w:r>
      <w:r>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Pr>
          <w:rFonts w:eastAsia="Times New Roman" w:cs="Times New Roman"/>
          <w:color w:val="000000"/>
          <w:szCs w:val="20"/>
        </w:rPr>
        <w:t xml:space="preserve">;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recorded on the child’s birth certificate as the child’s father</w:t>
      </w:r>
      <w:r>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 pursuant to a subpoena</w:t>
      </w:r>
      <w:r>
        <w:rPr>
          <w:rFonts w:eastAsia="Times New Roman" w:cs="Times New Roman"/>
          <w:color w:val="000000"/>
          <w:szCs w:val="20"/>
        </w:rPr>
        <w:t xml:space="preserve">;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openly living with the child or the child’s mother, or both, at the time the </w:t>
      </w:r>
      <w:r>
        <w:rPr>
          <w:rFonts w:eastAsia="Times New Roman" w:cs="Times New Roman"/>
          <w:strike/>
          <w:color w:val="000000"/>
          <w:szCs w:val="20"/>
        </w:rPr>
        <w:t>adoption</w:t>
      </w:r>
      <w:r>
        <w:rPr>
          <w:rFonts w:eastAsia="Times New Roman" w:cs="Times New Roman"/>
          <w:color w:val="000000"/>
          <w:szCs w:val="20"/>
        </w:rPr>
        <w:t xml:space="preserve"> proceeding is initiated</w:t>
      </w:r>
      <w:r>
        <w:rPr>
          <w:rFonts w:eastAsia="Times New Roman" w:cs="Times New Roman"/>
          <w:strike/>
          <w:color w:val="000000"/>
          <w:szCs w:val="20"/>
        </w:rPr>
        <w:t>,</w:t>
      </w:r>
      <w:r>
        <w:rPr>
          <w:rFonts w:eastAsia="Times New Roman" w:cs="Times New Roman"/>
          <w:color w:val="000000"/>
          <w:szCs w:val="20"/>
        </w:rPr>
        <w:t xml:space="preserve"> and who is holding himself out to be the child’s father;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has been identified as the child’s father by the mother in a sworn, written statement; and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from whom consent or relinquishment is not required pursuant to </w:t>
      </w:r>
      <w:r>
        <w:rPr>
          <w:rFonts w:eastAsia="Times New Roman" w:cs="Times New Roman"/>
          <w:strike/>
          <w:color w:val="000000"/>
          <w:szCs w:val="20"/>
        </w:rPr>
        <w:t>item (2) of subsection (A)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320</w:t>
      </w:r>
      <w:r>
        <w:rPr>
          <w:rFonts w:eastAsia="Times New Roman" w:cs="Times New Roman"/>
          <w:color w:val="000000"/>
          <w:szCs w:val="20"/>
          <w:u w:val="single"/>
        </w:rPr>
        <w:t>(A)(2)</w:t>
      </w:r>
      <w:r>
        <w:rPr>
          <w:rFonts w:eastAsia="Times New Roman" w:cs="Times New Roman"/>
          <w:color w:val="000000"/>
          <w:szCs w:val="20"/>
        </w:rPr>
        <w:t>.”</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63</w:t>
      </w:r>
      <w:r>
        <w:rPr>
          <w:rFonts w:eastAsia="Times New Roman" w:cs="Times New Roman"/>
          <w:color w:val="000000"/>
          <w:szCs w:val="20"/>
        </w:rPr>
        <w:noBreakHyphen/>
        <w:t>7</w:t>
      </w:r>
      <w:r>
        <w:rPr>
          <w:rFonts w:eastAsia="Times New Roman" w:cs="Times New Roman"/>
          <w:color w:val="000000"/>
          <w:szCs w:val="20"/>
        </w:rPr>
        <w:noBreakHyphen/>
        <w:t>2530 of the 1976 Code, as added by Act 361 of 2008, is amended to read:</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2530.</w:t>
      </w:r>
      <w:r>
        <w:rPr>
          <w:rFonts w:cs="Times New Roman"/>
          <w:color w:val="000000" w:themeColor="text1"/>
          <w:u w:color="000000" w:themeColor="text1"/>
        </w:rPr>
        <w:tab/>
      </w:r>
      <w:r>
        <w:rPr>
          <w:rFonts w:eastAsia="Times New Roman" w:cs="Times New Roman"/>
          <w:color w:val="000000"/>
          <w:szCs w:val="20"/>
        </w:rPr>
        <w:t>(A)</w:t>
      </w:r>
      <w:r>
        <w:rPr>
          <w:rFonts w:eastAsia="Times New Roman" w:cs="Times New Roman"/>
          <w:color w:val="000000"/>
          <w:szCs w:val="20"/>
        </w:rPr>
        <w:tab/>
        <w:t xml:space="preserve">A petition seeking termination of parental rights may be filed by the Department of Social Services or any interested party.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eastAsia="Times New Roman" w:cs="Times New Roman"/>
          <w:color w:val="000000"/>
          <w:szCs w:val="20"/>
        </w:rPr>
        <w:tab/>
        <w:t>(B)</w:t>
      </w:r>
      <w:r>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Pr>
          <w:rFonts w:eastAsia="Times New Roman" w:cs="Times New Roman"/>
          <w:color w:val="000000"/>
          <w:szCs w:val="20"/>
        </w:rPr>
        <w:noBreakHyphen/>
        <w:t>7</w:t>
      </w:r>
      <w:r>
        <w:rPr>
          <w:rFonts w:eastAsia="Times New Roman" w:cs="Times New Roman"/>
          <w:color w:val="000000"/>
          <w:szCs w:val="20"/>
        </w:rPr>
        <w:noBreakHyphen/>
        <w:t>1680 and without first seeking an amendment of the placement plan pursuant to Section 63</w:t>
      </w:r>
      <w:r>
        <w:rPr>
          <w:rFonts w:eastAsia="Times New Roman" w:cs="Times New Roman"/>
          <w:color w:val="000000"/>
          <w:szCs w:val="20"/>
        </w:rPr>
        <w:noBreakHyphen/>
        <w:t>7</w:t>
      </w:r>
      <w:r>
        <w:rPr>
          <w:rFonts w:eastAsia="Times New Roman" w:cs="Times New Roman"/>
          <w:color w:val="000000"/>
          <w:szCs w:val="20"/>
        </w:rPr>
        <w:noBreakHyphen/>
        <w:t xml:space="preserve">1700.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and the court may grant a continuance in its discretion.  If a continuance is granted, the court must issue a written order scheduling the case for trial on a date and time certain.</w:t>
      </w:r>
      <w:r>
        <w:rPr>
          <w:rFonts w:cs="Times New Roman"/>
          <w:color w:val="000000" w:themeColor="text1"/>
        </w:rPr>
        <w:t>”</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 of the 1976 Code, as added by Act 361 of 2008, is amended to read:</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w:t>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eastAsia="Times New Roman" w:cs="Times New Roman"/>
          <w:color w:val="000000"/>
          <w:szCs w:val="20"/>
        </w:rPr>
        <w:t xml:space="preserve">A summons and petition for termination of parental rights must be filed with the court and served on: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child</w:t>
      </w:r>
      <w:r>
        <w:rPr>
          <w:rFonts w:eastAsia="Times New Roman" w:cs="Times New Roman"/>
          <w:color w:val="000000"/>
          <w:szCs w:val="20"/>
          <w:u w:val="single"/>
        </w:rPr>
        <w:t>, if the child is fourteen years of age or older</w:t>
      </w:r>
      <w:r>
        <w:rPr>
          <w:rFonts w:eastAsia="Times New Roman" w:cs="Times New Roman"/>
          <w:color w:val="000000"/>
          <w:szCs w:val="20"/>
        </w:rPr>
        <w:t xml:space="preserve">;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color w:val="000000"/>
          <w:szCs w:val="20"/>
          <w:u w:val="single"/>
        </w:rPr>
        <w:t>the child’s guardian ad litem, appointed pursuant to Section 63</w:t>
      </w:r>
      <w:r>
        <w:rPr>
          <w:rFonts w:eastAsia="Times New Roman" w:cs="Times New Roman"/>
          <w:color w:val="000000"/>
          <w:szCs w:val="20"/>
          <w:u w:val="single"/>
        </w:rPr>
        <w:noBreakHyphen/>
        <w:t>7</w:t>
      </w:r>
      <w:r>
        <w:rPr>
          <w:rFonts w:eastAsia="Times New Roman" w:cs="Times New Roman"/>
          <w:color w:val="000000"/>
          <w:szCs w:val="20"/>
          <w:u w:val="single"/>
        </w:rPr>
        <w:noBreakHyphen/>
        <w:t>2560(B), if the child is under fourteen years of age;</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t xml:space="preserve">the parents of the child; and </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strike/>
          <w:color w:val="000000"/>
          <w:szCs w:val="20"/>
        </w:rPr>
        <w:t>(3)</w:t>
      </w:r>
      <w:r>
        <w:rPr>
          <w:rFonts w:eastAsia="Times New Roman" w:cs="Times New Roman"/>
          <w:color w:val="000000"/>
          <w:szCs w:val="20"/>
          <w:u w:val="single"/>
        </w:rPr>
        <w:t>(4)</w:t>
      </w:r>
      <w:r>
        <w:rPr>
          <w:rFonts w:eastAsia="Times New Roman" w:cs="Times New Roman"/>
          <w:color w:val="000000"/>
          <w:szCs w:val="20"/>
        </w:rPr>
        <w:tab/>
        <w:t>an agency with placement or custody of the child.</w:t>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r>
      <w:r>
        <w:rPr>
          <w:rFonts w:eastAsia="Times New Roman" w:cs="Times New Roman"/>
          <w:color w:val="000000"/>
          <w:szCs w:val="20"/>
          <w:u w:val="single"/>
        </w:rPr>
        <w:t>The right of an unmarried biological father, as defined in Section 63</w:t>
      </w:r>
      <w:r>
        <w:rPr>
          <w:rFonts w:eastAsia="Times New Roman" w:cs="Times New Roman"/>
          <w:color w:val="000000"/>
          <w:szCs w:val="20"/>
          <w:u w:val="single"/>
        </w:rPr>
        <w:noBreakHyphen/>
        <w:t>9</w:t>
      </w:r>
      <w:r>
        <w:rPr>
          <w:rFonts w:eastAsia="Times New Roman" w:cs="Times New Roman"/>
          <w:color w:val="000000"/>
          <w:szCs w:val="20"/>
          <w:u w:val="single"/>
        </w:rPr>
        <w:noBreakHyphen/>
        <w:t>820, to receive notice of a termination of parental rights action must be governed by the notice provisions of Section 63</w:t>
      </w:r>
      <w:r>
        <w:rPr>
          <w:rFonts w:eastAsia="Times New Roman" w:cs="Times New Roman"/>
          <w:color w:val="000000"/>
          <w:szCs w:val="20"/>
          <w:u w:val="single"/>
        </w:rPr>
        <w:noBreakHyphen/>
        <w:t>9</w:t>
      </w:r>
      <w:r>
        <w:rPr>
          <w:rFonts w:eastAsia="Times New Roman" w:cs="Times New Roman"/>
          <w:color w:val="000000"/>
          <w:szCs w:val="20"/>
          <w:u w:val="single"/>
        </w:rPr>
        <w:noBreakHyphen/>
        <w:t>730(B)(1), (3), (4), (5), and (6), and Subarticle 8, Chapter 9.</w:t>
      </w:r>
      <w:r>
        <w:rPr>
          <w:rFonts w:eastAsia="Times New Roman" w:cs="Times New Roman"/>
          <w:color w:val="000000"/>
          <w:szCs w:val="20"/>
        </w:rPr>
        <w:t>”</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SECTION 5.</w:t>
      </w:r>
      <w:r>
        <w:rPr>
          <w:rFonts w:eastAsia="Times New Roman" w:cs="Times New Roman"/>
          <w:szCs w:val="20"/>
        </w:rPr>
        <w:tab/>
      </w:r>
      <w:r>
        <w:rPr>
          <w:rFonts w:eastAsia="Calibri" w:cs="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F07748" w:rsidRDefault="00F0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Pr>
          <w:rFonts w:eastAsia="Times New Roman" w:cs="Times New Roman"/>
          <w:szCs w:val="20"/>
        </w:rPr>
        <w:noBreakHyphen/>
        <w:t>9</w:t>
      </w:r>
      <w:r>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Pr>
          <w:rFonts w:eastAsia="Times New Roman" w:cs="Times New Roman"/>
          <w:szCs w:val="20"/>
        </w:rPr>
        <w:noBreakHyphen/>
        <w:t>7</w:t>
      </w:r>
      <w:r>
        <w:rPr>
          <w:rFonts w:eastAsia="Times New Roman" w:cs="Times New Roman"/>
          <w:szCs w:val="20"/>
        </w:rPr>
        <w:noBreakHyphen/>
        <w:t>2550(B) of the 1976 Code, as added by Section 4 of this act, apply to termination of parental rights actions and adoption actions filed one year after approval by the Governor.</w:t>
      </w:r>
      <w:r>
        <w:rPr>
          <w:rFonts w:eastAsia="Times New Roman" w:cs="Times New Roman"/>
          <w:szCs w:val="20"/>
        </w:rPr>
        <w:tab/>
      </w:r>
      <w:r>
        <w:rPr>
          <w:rFonts w:eastAsia="Times New Roman" w:cs="Times New Roman"/>
          <w:szCs w:val="20"/>
        </w:rPr>
        <w:tab/>
      </w:r>
    </w:p>
    <w:p w:rsidR="00F07748" w:rsidRDefault="002E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F07748" w:rsidRDefault="00F07748">
      <w:pPr>
        <w:tabs>
          <w:tab w:val="left" w:pos="216"/>
          <w:tab w:val="left" w:pos="432"/>
          <w:tab w:val="left" w:pos="648"/>
          <w:tab w:val="left" w:pos="864"/>
          <w:tab w:val="left" w:pos="1080"/>
          <w:tab w:val="left" w:pos="1296"/>
          <w:tab w:val="right" w:leader="dot" w:pos="5904"/>
        </w:tabs>
        <w:suppressAutoHyphens/>
      </w:pPr>
    </w:p>
    <w:sectPr w:rsidR="00F07748" w:rsidSect="00F0774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748" w:rsidRDefault="002E435C">
      <w:r>
        <w:separator/>
      </w:r>
    </w:p>
  </w:endnote>
  <w:endnote w:type="continuationSeparator" w:id="0">
    <w:p w:rsidR="00F07748" w:rsidRDefault="002E4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0848E-6CB8-415F-A617-B5D6ED442905}"/>
    <w:embedBold r:id="rId2" w:fontKey="{C7BA4DD1-AD70-4C1A-99A3-C4694B53B1B5}"/>
  </w:font>
  <w:font w:name="Calibri">
    <w:panose1 w:val="020F0502020204030204"/>
    <w:charset w:val="00"/>
    <w:family w:val="swiss"/>
    <w:pitch w:val="variable"/>
    <w:sig w:usb0="E10002FF" w:usb1="4000ACFF" w:usb2="00000009" w:usb3="00000000" w:csb0="0000019F" w:csb1="00000000"/>
    <w:embedRegular r:id="rId3" w:fontKey="{C41AF099-479D-43A6-B79A-D51BAAF1693B}"/>
    <w:embedBold r:id="rId4" w:fontKey="{65011BBA-A7F5-42F7-9F97-64F07C6B31C1}"/>
  </w:font>
  <w:font w:name="Tahoma">
    <w:panose1 w:val="020B0604030504040204"/>
    <w:charset w:val="00"/>
    <w:family w:val="swiss"/>
    <w:pitch w:val="variable"/>
    <w:sig w:usb0="21002A87" w:usb1="80000000" w:usb2="00000008" w:usb3="00000000" w:csb0="000101FF" w:csb1="00000000"/>
    <w:embedRegular r:id="rId5" w:fontKey="{3B5738D0-CFA9-4DE5-A01D-3CB8BAE23ED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27E7232-B7F2-4577-AB1B-FFE8B4418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748" w:rsidRDefault="002E435C">
    <w:pPr>
      <w:pStyle w:val="Footer"/>
      <w:tabs>
        <w:tab w:val="clear" w:pos="4680"/>
        <w:tab w:val="clear" w:pos="9360"/>
        <w:tab w:val="center" w:pos="2995"/>
      </w:tabs>
      <w:spacing w:before="120"/>
    </w:pPr>
    <w:r>
      <w:t>[284-</w:t>
    </w:r>
    <w:r w:rsidR="003B60F2">
      <w:fldChar w:fldCharType="begin"/>
    </w:r>
    <w:r w:rsidR="003B60F2">
      <w:instrText xml:space="preserve"> PAGE  \* MERGEFORMAT </w:instrText>
    </w:r>
    <w:r w:rsidR="003B60F2">
      <w:fldChar w:fldCharType="separate"/>
    </w:r>
    <w:r w:rsidR="003B60F2">
      <w:rPr>
        <w:noProof/>
      </w:rPr>
      <w:t>1</w:t>
    </w:r>
    <w:r w:rsidR="003B60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748" w:rsidRDefault="002E435C">
    <w:pPr>
      <w:pStyle w:val="Footer"/>
      <w:tabs>
        <w:tab w:val="clear" w:pos="4680"/>
        <w:tab w:val="clear" w:pos="9360"/>
        <w:tab w:val="center" w:pos="2995"/>
      </w:tabs>
      <w:spacing w:before="120"/>
    </w:pPr>
    <w:r>
      <w:t>[284]</w:t>
    </w:r>
    <w:r>
      <w:tab/>
    </w:r>
    <w:r w:rsidR="003B60F2">
      <w:fldChar w:fldCharType="begin"/>
    </w:r>
    <w:r w:rsidR="003B60F2">
      <w:instrText xml:space="preserve"> PAGE  \* MERGEFORMAT </w:instrText>
    </w:r>
    <w:r w:rsidR="003B60F2">
      <w:fldChar w:fldCharType="separate"/>
    </w:r>
    <w:r>
      <w:rPr>
        <w:noProof/>
      </w:rPr>
      <w:t>8</w:t>
    </w:r>
    <w:r w:rsidR="003B60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748" w:rsidRDefault="002E435C">
      <w:r>
        <w:separator/>
      </w:r>
    </w:p>
  </w:footnote>
  <w:footnote w:type="continuationSeparator" w:id="0">
    <w:p w:rsidR="00F07748" w:rsidRDefault="002E43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07748"/>
    <w:rsid w:val="002D296C"/>
    <w:rsid w:val="002E435C"/>
    <w:rsid w:val="003B60F2"/>
    <w:rsid w:val="00712C8C"/>
    <w:rsid w:val="007B7B9B"/>
    <w:rsid w:val="00D676C9"/>
    <w:rsid w:val="00F07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9E2EF6-7A96-49AF-A676-57B61C2D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748"/>
    <w:rPr>
      <w:szCs w:val="21"/>
    </w:rPr>
  </w:style>
  <w:style w:type="character" w:customStyle="1" w:styleId="PlainTextChar">
    <w:name w:val="Plain Text Char"/>
    <w:basedOn w:val="DefaultParagraphFont"/>
    <w:link w:val="PlainText"/>
    <w:uiPriority w:val="99"/>
    <w:rsid w:val="00F07748"/>
    <w:rPr>
      <w:szCs w:val="21"/>
    </w:rPr>
  </w:style>
  <w:style w:type="paragraph" w:styleId="BodyText">
    <w:name w:val="Body Text"/>
    <w:basedOn w:val="Normal"/>
    <w:link w:val="BodyTextChar"/>
    <w:uiPriority w:val="99"/>
    <w:locked/>
    <w:rsid w:val="00F07748"/>
  </w:style>
  <w:style w:type="character" w:customStyle="1" w:styleId="BodyTextChar">
    <w:name w:val="Body Text Char"/>
    <w:basedOn w:val="DefaultParagraphFont"/>
    <w:link w:val="BodyText"/>
    <w:uiPriority w:val="99"/>
    <w:rsid w:val="00F07748"/>
  </w:style>
  <w:style w:type="paragraph" w:styleId="BalloonText">
    <w:name w:val="Balloon Text"/>
    <w:next w:val="Normal"/>
    <w:link w:val="BalloonTextChar"/>
    <w:uiPriority w:val="99"/>
    <w:unhideWhenUsed/>
    <w:rsid w:val="00F07748"/>
    <w:rPr>
      <w:rFonts w:cs="Tahoma"/>
      <w:szCs w:val="16"/>
    </w:rPr>
  </w:style>
  <w:style w:type="character" w:customStyle="1" w:styleId="BalloonTextChar">
    <w:name w:val="Balloon Text Char"/>
    <w:basedOn w:val="DefaultParagraphFont"/>
    <w:link w:val="BalloonText"/>
    <w:uiPriority w:val="99"/>
    <w:rsid w:val="00F07748"/>
    <w:rPr>
      <w:rFonts w:cs="Tahoma"/>
      <w:szCs w:val="16"/>
    </w:rPr>
  </w:style>
  <w:style w:type="paragraph" w:styleId="NormalWeb">
    <w:name w:val="Normal (Web)"/>
    <w:basedOn w:val="Normal"/>
    <w:next w:val="Normal"/>
    <w:semiHidden/>
    <w:locked/>
    <w:rsid w:val="00F0774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0774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07748"/>
    <w:rPr>
      <w:rFonts w:eastAsia="Times New Roman" w:cs="Times New Roman"/>
      <w:szCs w:val="20"/>
    </w:rPr>
  </w:style>
  <w:style w:type="paragraph" w:styleId="Header">
    <w:name w:val="header"/>
    <w:basedOn w:val="Normal"/>
    <w:link w:val="HeaderChar"/>
    <w:uiPriority w:val="99"/>
    <w:semiHidden/>
    <w:unhideWhenUsed/>
    <w:locked/>
    <w:rsid w:val="00F07748"/>
    <w:pPr>
      <w:tabs>
        <w:tab w:val="center" w:pos="4680"/>
        <w:tab w:val="right" w:pos="9360"/>
      </w:tabs>
    </w:pPr>
  </w:style>
  <w:style w:type="character" w:customStyle="1" w:styleId="HeaderChar">
    <w:name w:val="Header Char"/>
    <w:basedOn w:val="DefaultParagraphFont"/>
    <w:link w:val="Header"/>
    <w:uiPriority w:val="99"/>
    <w:semiHidden/>
    <w:rsid w:val="00F07748"/>
  </w:style>
  <w:style w:type="character" w:styleId="LineNumber">
    <w:name w:val="line number"/>
    <w:basedOn w:val="DefaultParagraphFont"/>
    <w:uiPriority w:val="99"/>
    <w:semiHidden/>
    <w:unhideWhenUsed/>
    <w:locked/>
    <w:rsid w:val="00F07748"/>
  </w:style>
  <w:style w:type="character" w:styleId="Hyperlink">
    <w:name w:val="Hyperlink"/>
    <w:basedOn w:val="DefaultParagraphFont"/>
    <w:uiPriority w:val="99"/>
    <w:unhideWhenUsed/>
    <w:locked/>
    <w:rsid w:val="00F077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8-09.docx" TargetMode="External"/><Relationship Id="rId13" Type="http://schemas.openxmlformats.org/officeDocument/2006/relationships/hyperlink" Target="file:///p:\pprever\2009-10\284_20090414.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12" Type="http://schemas.openxmlformats.org/officeDocument/2006/relationships/hyperlink" Target="file:///p:\pprever\2009-10\284_2009031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hyperlink" Target="file:///p:\pprever\2009-10\284_20090318.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p:\pprever\2009-10\284_20090115.docx" TargetMode="External"/><Relationship Id="rId4" Type="http://schemas.openxmlformats.org/officeDocument/2006/relationships/footnotes" Target="footnotes.xml"/><Relationship Id="rId9" Type="http://schemas.openxmlformats.org/officeDocument/2006/relationships/hyperlink" Target="file:///h:\SJ%20Archive\2009\04-14-09.docx" TargetMode="External"/><Relationship Id="rId14" Type="http://schemas.openxmlformats.org/officeDocument/2006/relationships/hyperlink" Target="file:///p:\pprever\2009-10\284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2779</Words>
  <Characters>14056</Characters>
  <Application>Microsoft Office Word</Application>
  <DocSecurity>0</DocSecurity>
  <Lines>369</Lines>
  <Paragraphs>102</Paragraphs>
  <ScaleCrop>false</ScaleCrop>
  <Company>Project Management</Company>
  <LinksUpToDate>false</LinksUpToDate>
  <CharactersWithSpaces>16890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284: Parental rights - South Carolina Legislature Online</dc:title>
  <dc:subject/>
  <dc:creator>NSC</dc:creator>
  <cp:keywords/>
  <dc:description/>
  <cp:lastModifiedBy>N Cumfer</cp:lastModifiedBy>
  <cp:revision>10</cp:revision>
  <dcterms:created xsi:type="dcterms:W3CDTF">2009-04-15T15:38:00Z</dcterms:created>
  <dcterms:modified xsi:type="dcterms:W3CDTF">2014-11-24T14:56:00Z</dcterms:modified>
</cp:coreProperties>
</file>