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1F3" w:rsidRDefault="00150213">
      <w:pPr>
        <w:widowControl w:val="0"/>
        <w:jc w:val="center"/>
      </w:pPr>
      <w:bookmarkStart w:id="0" w:name="_GoBack"/>
      <w:bookmarkEnd w:id="0"/>
      <w:r>
        <w:rPr>
          <w:b/>
        </w:rPr>
        <w:t>South Carolina General Assembly</w:t>
      </w:r>
    </w:p>
    <w:p w:rsidR="00FB21F3" w:rsidRDefault="00150213">
      <w:pPr>
        <w:widowControl w:val="0"/>
        <w:jc w:val="center"/>
      </w:pPr>
      <w:r>
        <w:t>118th Session, 2009-2010</w:t>
      </w:r>
    </w:p>
    <w:p w:rsidR="00FB21F3" w:rsidRDefault="00FB21F3">
      <w:pPr>
        <w:widowControl w:val="0"/>
        <w:jc w:val="left"/>
      </w:pPr>
    </w:p>
    <w:p w:rsidR="00FB21F3" w:rsidRDefault="00150213">
      <w:pPr>
        <w:widowControl w:val="0"/>
        <w:jc w:val="left"/>
        <w:rPr>
          <w:b/>
        </w:rPr>
      </w:pPr>
      <w:r>
        <w:rPr>
          <w:b/>
        </w:rPr>
        <w:t>H. 3831</w:t>
      </w:r>
    </w:p>
    <w:p w:rsidR="00FB21F3" w:rsidRDefault="00FB21F3">
      <w:pPr>
        <w:widowControl w:val="0"/>
        <w:jc w:val="left"/>
        <w:rPr>
          <w:b/>
        </w:rPr>
      </w:pPr>
    </w:p>
    <w:p w:rsidR="00FB21F3" w:rsidRDefault="00150213">
      <w:pPr>
        <w:widowControl w:val="0"/>
        <w:jc w:val="left"/>
      </w:pPr>
      <w:r>
        <w:rPr>
          <w:b/>
        </w:rPr>
        <w:t>STATUS INFORMATION</w:t>
      </w:r>
    </w:p>
    <w:p w:rsidR="00FB21F3" w:rsidRDefault="00FB21F3">
      <w:pPr>
        <w:widowControl w:val="0"/>
        <w:jc w:val="left"/>
      </w:pPr>
    </w:p>
    <w:p w:rsidR="00FB21F3" w:rsidRDefault="00150213">
      <w:pPr>
        <w:widowControl w:val="0"/>
        <w:jc w:val="left"/>
      </w:pPr>
      <w:r>
        <w:t>General Bill</w:t>
      </w:r>
    </w:p>
    <w:p w:rsidR="00FB21F3" w:rsidRDefault="00150213">
      <w:pPr>
        <w:widowControl w:val="0"/>
        <w:jc w:val="left"/>
      </w:pPr>
      <w:r>
        <w:t>Sponsors: Rep. Rutherford</w:t>
      </w:r>
    </w:p>
    <w:p w:rsidR="00FB21F3" w:rsidRDefault="00150213">
      <w:pPr>
        <w:widowControl w:val="0"/>
        <w:jc w:val="left"/>
      </w:pPr>
      <w:r>
        <w:t>Document Path: l:\council\bills\ggs\22308ab09.docx</w:t>
      </w:r>
    </w:p>
    <w:p w:rsidR="00FB21F3" w:rsidRDefault="00FB21F3">
      <w:pPr>
        <w:widowControl w:val="0"/>
        <w:jc w:val="left"/>
      </w:pPr>
    </w:p>
    <w:p w:rsidR="00FB21F3" w:rsidRDefault="00150213">
      <w:pPr>
        <w:widowControl w:val="0"/>
        <w:jc w:val="left"/>
      </w:pPr>
      <w:r>
        <w:t>Introduced in the House on April 1, 2009</w:t>
      </w:r>
    </w:p>
    <w:p w:rsidR="00FB21F3" w:rsidRDefault="00150213">
      <w:pPr>
        <w:widowControl w:val="0"/>
        <w:jc w:val="left"/>
      </w:pPr>
      <w:r>
        <w:t xml:space="preserve">Currently residing in the House Committee on </w:t>
      </w:r>
      <w:r>
        <w:rPr>
          <w:b/>
        </w:rPr>
        <w:t>Judiciary</w:t>
      </w:r>
    </w:p>
    <w:p w:rsidR="00FB21F3" w:rsidRDefault="00FB21F3">
      <w:pPr>
        <w:widowControl w:val="0"/>
        <w:jc w:val="left"/>
      </w:pPr>
    </w:p>
    <w:p w:rsidR="00FB21F3" w:rsidRDefault="00150213">
      <w:pPr>
        <w:widowControl w:val="0"/>
        <w:jc w:val="left"/>
      </w:pPr>
      <w:r>
        <w:t>Summary: Rental property</w:t>
      </w:r>
    </w:p>
    <w:p w:rsidR="00FB21F3" w:rsidRDefault="00FB21F3">
      <w:pPr>
        <w:widowControl w:val="0"/>
        <w:jc w:val="left"/>
      </w:pPr>
    </w:p>
    <w:p w:rsidR="00FB21F3" w:rsidRDefault="00FB21F3">
      <w:pPr>
        <w:widowControl w:val="0"/>
        <w:jc w:val="left"/>
      </w:pPr>
    </w:p>
    <w:p w:rsidR="00FB21F3" w:rsidRDefault="00150213">
      <w:pPr>
        <w:widowControl w:val="0"/>
        <w:tabs>
          <w:tab w:val="center" w:pos="590"/>
          <w:tab w:val="center" w:pos="1440"/>
          <w:tab w:val="left" w:pos="1872"/>
          <w:tab w:val="left" w:pos="9187"/>
        </w:tabs>
        <w:jc w:val="left"/>
      </w:pPr>
      <w:r>
        <w:rPr>
          <w:b/>
        </w:rPr>
        <w:t>HISTORY OF LEGISLATIVE ACTIONS</w:t>
      </w:r>
    </w:p>
    <w:p w:rsidR="00FB21F3" w:rsidRDefault="00FB21F3">
      <w:pPr>
        <w:widowControl w:val="0"/>
        <w:tabs>
          <w:tab w:val="center" w:pos="590"/>
          <w:tab w:val="center" w:pos="1440"/>
          <w:tab w:val="left" w:pos="1872"/>
          <w:tab w:val="left" w:pos="9187"/>
        </w:tabs>
        <w:jc w:val="left"/>
      </w:pPr>
    </w:p>
    <w:p w:rsidR="00FB21F3" w:rsidRDefault="0015021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B21F3" w:rsidRDefault="00150213">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5C6C62">
          <w:rPr>
            <w:rStyle w:val="Hyperlink"/>
          </w:rPr>
          <w:t>HJ</w:t>
        </w:r>
      </w:hyperlink>
      <w:r>
        <w:noBreakHyphen/>
        <w:t>6</w:t>
      </w:r>
    </w:p>
    <w:p w:rsidR="00FB21F3" w:rsidRDefault="00150213">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Judiciary</w:t>
      </w:r>
      <w:r>
        <w:t xml:space="preserve"> </w:t>
      </w:r>
      <w:hyperlink r:id="rId8" w:history="1">
        <w:r w:rsidRPr="005C6C62">
          <w:rPr>
            <w:rStyle w:val="Hyperlink"/>
          </w:rPr>
          <w:t>HJ</w:t>
        </w:r>
      </w:hyperlink>
      <w:r>
        <w:noBreakHyphen/>
        <w:t>6</w:t>
      </w:r>
    </w:p>
    <w:p w:rsidR="00FB21F3" w:rsidRDefault="00FB21F3">
      <w:pPr>
        <w:widowControl w:val="0"/>
        <w:tabs>
          <w:tab w:val="right" w:pos="1008"/>
          <w:tab w:val="left" w:pos="1152"/>
          <w:tab w:val="left" w:pos="1872"/>
          <w:tab w:val="left" w:pos="9187"/>
        </w:tabs>
        <w:ind w:left="2088" w:hanging="2088"/>
        <w:jc w:val="left"/>
      </w:pPr>
    </w:p>
    <w:p w:rsidR="00FB21F3" w:rsidRDefault="00FB21F3">
      <w:pPr>
        <w:widowControl w:val="0"/>
        <w:tabs>
          <w:tab w:val="right" w:pos="1008"/>
          <w:tab w:val="left" w:pos="1152"/>
          <w:tab w:val="left" w:pos="1872"/>
          <w:tab w:val="left" w:pos="9187"/>
        </w:tabs>
        <w:ind w:left="2088" w:hanging="2088"/>
        <w:jc w:val="left"/>
      </w:pPr>
    </w:p>
    <w:p w:rsidR="00FB21F3" w:rsidRDefault="00150213">
      <w:pPr>
        <w:widowControl w:val="0"/>
        <w:jc w:val="left"/>
      </w:pPr>
      <w:r>
        <w:rPr>
          <w:b/>
        </w:rPr>
        <w:t>VERSIONS OF THIS BILL</w:t>
      </w:r>
    </w:p>
    <w:p w:rsidR="00FB21F3" w:rsidRDefault="00FB21F3">
      <w:pPr>
        <w:widowControl w:val="0"/>
        <w:jc w:val="left"/>
      </w:pPr>
    </w:p>
    <w:p w:rsidR="00FB21F3" w:rsidRDefault="00440F0E">
      <w:pPr>
        <w:widowControl w:val="0"/>
        <w:jc w:val="left"/>
      </w:pPr>
      <w:hyperlink r:id="rId9" w:history="1">
        <w:r w:rsidR="00150213">
          <w:rPr>
            <w:rStyle w:val="Hyperlink"/>
          </w:rPr>
          <w:t>4/1/2009</w:t>
        </w:r>
      </w:hyperlink>
    </w:p>
    <w:p w:rsidR="00FB21F3" w:rsidRDefault="00FB21F3"/>
    <w:p w:rsidR="00FB21F3" w:rsidRDefault="00FB21F3">
      <w:pPr>
        <w:sectPr w:rsidR="00FB21F3">
          <w:pgSz w:w="12240" w:h="15840" w:code="1"/>
          <w:pgMar w:top="1080" w:right="1440" w:bottom="1080" w:left="1440" w:header="720" w:footer="720" w:gutter="0"/>
          <w:cols w:space="720"/>
          <w:noEndnote/>
          <w:docGrid w:linePitch="360"/>
        </w:sectPr>
      </w:pPr>
    </w:p>
    <w:p w:rsidR="00FB21F3" w:rsidRDefault="00FB21F3">
      <w:pPr>
        <w:pStyle w:val="BillDots"/>
      </w:pPr>
    </w:p>
    <w:p w:rsidR="00FB21F3" w:rsidRDefault="00FB21F3">
      <w:pPr>
        <w:pStyle w:val="Numbersforbills"/>
      </w:pPr>
    </w:p>
    <w:p w:rsidR="00FB21F3" w:rsidRDefault="00FB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F3" w:rsidRDefault="00FB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F3" w:rsidRDefault="00FB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F3" w:rsidRDefault="00FB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F3" w:rsidRDefault="00FB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F3" w:rsidRDefault="00FB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F3" w:rsidRDefault="0015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B21F3" w:rsidRDefault="00FB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F3" w:rsidRDefault="0015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410, CODE OF LAWS OF SOUTH CAROLINA, 1976, RELATING TO SECURITY DEPOSITS PAID UNDER THE RESIDENTIAL LANDLORD</w:t>
      </w:r>
      <w:r>
        <w:rPr>
          <w:rFonts w:eastAsiaTheme="minorHAnsi"/>
          <w:color w:val="000000" w:themeColor="text1"/>
          <w:szCs w:val="22"/>
          <w:u w:color="000000" w:themeColor="text1"/>
        </w:rPr>
        <w:noBreakHyphen/>
        <w:t>TENANT ACT, SO AS TO PROVIDE A LANDLORD MUST BE EXEMPT FROM CERTAIN WRITTEN NOTICE REQUIREMENTS IF THE TENANT IS EVICTED FOR FAILING TO PAY RENT OR INCURRING DAMAGE EXCEEDING THE AMOUNT OF THE SECURITY DEPOSIT.</w:t>
      </w:r>
    </w:p>
    <w:p w:rsidR="00FB21F3" w:rsidRDefault="00FB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21F3" w:rsidRDefault="0015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1F3" w:rsidRDefault="00FB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F3" w:rsidRDefault="0015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410(a) of the 1976 Code is amended to read:</w:t>
      </w:r>
    </w:p>
    <w:p w:rsidR="00FB21F3" w:rsidRDefault="00FB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1F3" w:rsidRDefault="0015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rFonts w:eastAsiaTheme="minorHAnsi"/>
          <w:color w:val="000000" w:themeColor="text1"/>
          <w:szCs w:val="22"/>
          <w:u w:color="000000" w:themeColor="text1"/>
        </w:rPr>
        <w:tab/>
        <w:t>“</w:t>
      </w:r>
      <w:r>
        <w:rPr>
          <w:color w:val="000000" w:themeColor="text1"/>
          <w:szCs w:val="24"/>
          <w:u w:color="000000" w:themeColor="text1"/>
        </w:rPr>
        <w:t>(a)</w:t>
      </w:r>
      <w:r>
        <w:rPr>
          <w:color w:val="000000" w:themeColor="text1"/>
          <w:szCs w:val="24"/>
          <w:u w:color="000000" w:themeColor="text1"/>
        </w:rPr>
        <w:tab/>
        <w:t xml:space="preserve">Upon termination of the tenancy, property or money held by the landlord as security must be returned less amounts withheld by the landlord for accrued rent and damages </w:t>
      </w:r>
      <w:r>
        <w:rPr>
          <w:strike/>
          <w:color w:val="000000" w:themeColor="text1"/>
          <w:szCs w:val="24"/>
          <w:u w:color="000000" w:themeColor="text1"/>
        </w:rPr>
        <w:t>which</w:t>
      </w:r>
      <w:r>
        <w:rPr>
          <w:color w:val="000000" w:themeColor="text1"/>
          <w:szCs w:val="24"/>
          <w:u w:color="000000" w:themeColor="text1"/>
        </w:rPr>
        <w:t xml:space="preserve"> </w:t>
      </w:r>
      <w:r>
        <w:rPr>
          <w:color w:val="000000" w:themeColor="text1"/>
          <w:szCs w:val="24"/>
          <w:u w:val="single" w:color="000000" w:themeColor="text1"/>
        </w:rPr>
        <w:t>that</w:t>
      </w:r>
      <w:r>
        <w:rPr>
          <w:color w:val="000000" w:themeColor="text1"/>
          <w:szCs w:val="24"/>
          <w:u w:color="000000" w:themeColor="text1"/>
        </w:rPr>
        <w:t xml:space="preserve"> the landlord has suffered by reason of the tenant’s noncompliance with Section 27</w:t>
      </w:r>
      <w:r>
        <w:rPr>
          <w:color w:val="000000" w:themeColor="text1"/>
          <w:szCs w:val="24"/>
          <w:u w:color="000000" w:themeColor="text1"/>
        </w:rPr>
        <w:noBreakHyphen/>
        <w:t>40</w:t>
      </w:r>
      <w:r>
        <w:rPr>
          <w:color w:val="000000" w:themeColor="text1"/>
          <w:szCs w:val="24"/>
          <w:u w:color="000000" w:themeColor="text1"/>
        </w:rPr>
        <w:noBreakHyphen/>
        <w:t xml:space="preserve">510.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Except where damage to the rental unit exceeds the amount of the security/rental deposit or where a tenant is evicted for failing to pay rent, a</w:t>
      </w:r>
      <w:r>
        <w:rPr>
          <w:color w:val="000000" w:themeColor="text1"/>
          <w:szCs w:val="24"/>
          <w:u w:color="000000" w:themeColor="text1"/>
        </w:rPr>
        <w:t xml:space="preserve"> deduction from the security/rental deposit must be itemized by the landlord in a written notice to the tenant together with the amount due, if any, within thirty days after termination of the tenancy and delivery of possession and demand by the tenant, whichever is later.  The tenant shall provide the landlord in writing with a forwarding address or new address to which the written notice and amount due from the landlord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sent.  If the tenant fails to provide the landlord with the forwarding or new address, the tenant is not entitled to damages under this subsection </w:t>
      </w:r>
      <w:r>
        <w:rPr>
          <w:strike/>
          <w:color w:val="000000" w:themeColor="text1"/>
          <w:szCs w:val="24"/>
          <w:u w:color="000000" w:themeColor="text1"/>
        </w:rPr>
        <w:t>provided</w:t>
      </w:r>
      <w:r>
        <w:rPr>
          <w:color w:val="000000" w:themeColor="text1"/>
          <w:szCs w:val="24"/>
          <w:u w:color="000000" w:themeColor="text1"/>
        </w:rPr>
        <w:t xml:space="preserve"> </w:t>
      </w:r>
      <w:r>
        <w:rPr>
          <w:color w:val="000000" w:themeColor="text1"/>
          <w:szCs w:val="24"/>
          <w:u w:val="single" w:color="000000" w:themeColor="text1"/>
        </w:rPr>
        <w:t>if</w:t>
      </w:r>
      <w:r>
        <w:rPr>
          <w:color w:val="000000" w:themeColor="text1"/>
          <w:szCs w:val="24"/>
          <w:u w:color="000000" w:themeColor="text1"/>
        </w:rPr>
        <w:t xml:space="preserve"> the landlord</w:t>
      </w:r>
      <w:r>
        <w:rPr>
          <w:color w:val="000000" w:themeColor="text1"/>
          <w:szCs w:val="24"/>
          <w:u w:val="single" w:color="000000" w:themeColor="text1"/>
        </w:rPr>
        <w:t>:</w:t>
      </w:r>
    </w:p>
    <w:p w:rsidR="00FB21F3" w:rsidRDefault="0015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had no notice of the tenant’s whereabouts</w:t>
      </w:r>
      <w:r>
        <w:rPr>
          <w:color w:val="000000" w:themeColor="text1"/>
          <w:szCs w:val="24"/>
          <w:u w:val="single" w:color="000000" w:themeColor="text1"/>
        </w:rPr>
        <w:t>;</w:t>
      </w:r>
      <w:r>
        <w:rPr>
          <w:color w:val="000000" w:themeColor="text1"/>
          <w:szCs w:val="24"/>
          <w:u w:color="000000" w:themeColor="text1"/>
        </w:rPr>
        <w:t xml:space="preserve"> and</w:t>
      </w:r>
    </w:p>
    <w:p w:rsidR="00FB21F3" w:rsidRDefault="0015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(2)</w:t>
      </w:r>
      <w:r>
        <w:rPr>
          <w:color w:val="000000" w:themeColor="text1"/>
          <w:szCs w:val="24"/>
          <w:u w:color="000000" w:themeColor="text1"/>
        </w:rPr>
        <w:tab/>
        <w:t>mailed the written notice and amount due</w:t>
      </w:r>
      <w:r>
        <w:rPr>
          <w:strike/>
          <w:color w:val="000000" w:themeColor="text1"/>
          <w:szCs w:val="24"/>
          <w:u w:color="000000" w:themeColor="text1"/>
        </w:rPr>
        <w:t>, if any,</w:t>
      </w:r>
      <w:r>
        <w:rPr>
          <w:color w:val="000000" w:themeColor="text1"/>
          <w:szCs w:val="24"/>
          <w:u w:color="000000" w:themeColor="text1"/>
        </w:rPr>
        <w:t xml:space="preserve"> to the tenant’s last known address.”</w:t>
      </w:r>
    </w:p>
    <w:p w:rsidR="00FB21F3" w:rsidRDefault="00FB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1F3" w:rsidRDefault="0015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B21F3" w:rsidRDefault="0015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21F3" w:rsidRDefault="00FB21F3">
      <w:pPr>
        <w:suppressAutoHyphens/>
      </w:pPr>
    </w:p>
    <w:sectPr w:rsidR="00FB21F3" w:rsidSect="00FB21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1F3" w:rsidRDefault="00150213">
      <w:r>
        <w:separator/>
      </w:r>
    </w:p>
  </w:endnote>
  <w:endnote w:type="continuationSeparator" w:id="0">
    <w:p w:rsidR="00FB21F3" w:rsidRDefault="00150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144045-BEE5-4157-9A10-36A35983A01F}"/>
    <w:embedBold r:id="rId2" w:fontKey="{64851618-5642-4306-A77F-16767B063364}"/>
  </w:font>
  <w:font w:name="Calibri">
    <w:panose1 w:val="020F0502020204030204"/>
    <w:charset w:val="00"/>
    <w:family w:val="swiss"/>
    <w:pitch w:val="variable"/>
    <w:sig w:usb0="E10002FF" w:usb1="4000ACFF" w:usb2="00000009" w:usb3="00000000" w:csb0="0000019F" w:csb1="00000000"/>
    <w:embedRegular r:id="rId3" w:fontKey="{9BC12F79-77D6-4B09-80B1-5137726F9622}"/>
  </w:font>
  <w:font w:name="Tahoma">
    <w:panose1 w:val="020B0604030504040204"/>
    <w:charset w:val="00"/>
    <w:family w:val="swiss"/>
    <w:pitch w:val="variable"/>
    <w:sig w:usb0="21002A87" w:usb1="80000000" w:usb2="00000008" w:usb3="00000000" w:csb0="000101FF" w:csb1="00000000"/>
    <w:embedRegular r:id="rId4" w:fontKey="{65EF5DE8-206A-46FA-8D8C-6BC8D490D363}"/>
  </w:font>
  <w:font w:name="Cambria">
    <w:panose1 w:val="02040503050406030204"/>
    <w:charset w:val="00"/>
    <w:family w:val="roman"/>
    <w:pitch w:val="variable"/>
    <w:sig w:usb0="E00002FF" w:usb1="400004FF" w:usb2="00000000" w:usb3="00000000" w:csb0="0000019F" w:csb1="00000000"/>
    <w:embedRegular r:id="rId5" w:fontKey="{FF92639E-1D2B-4494-8809-B005D6A876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1F3" w:rsidRDefault="00150213">
    <w:pPr>
      <w:pStyle w:val="Footer"/>
      <w:tabs>
        <w:tab w:val="clear" w:pos="4680"/>
        <w:tab w:val="clear" w:pos="9360"/>
        <w:tab w:val="center" w:pos="2995"/>
      </w:tabs>
      <w:spacing w:before="120"/>
    </w:pPr>
    <w:r>
      <w:t>[3831]</w:t>
    </w:r>
    <w:r>
      <w:tab/>
    </w:r>
    <w:r w:rsidR="00440F0E">
      <w:fldChar w:fldCharType="begin"/>
    </w:r>
    <w:r w:rsidR="00440F0E">
      <w:instrText xml:space="preserve"> PAGE  \* MERGEFORMAT </w:instrText>
    </w:r>
    <w:r w:rsidR="00440F0E">
      <w:fldChar w:fldCharType="separate"/>
    </w:r>
    <w:r w:rsidR="00440F0E">
      <w:rPr>
        <w:noProof/>
      </w:rPr>
      <w:t>1</w:t>
    </w:r>
    <w:r w:rsidR="00440F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1F3" w:rsidRDefault="00150213">
      <w:r>
        <w:separator/>
      </w:r>
    </w:p>
  </w:footnote>
  <w:footnote w:type="continuationSeparator" w:id="0">
    <w:p w:rsidR="00FB21F3" w:rsidRDefault="001502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08AB09"/>
    <w:docVar w:name="CoverBillType" w:val="b"/>
    <w:docVar w:name="docpath" w:val="L:\Council\bills\GGS\22308AB09.DOCX"/>
    <w:docVar w:name="dvBillNumber" w:val="3831"/>
    <w:docVar w:name="dvBillNumberPrefix" w:val="H. "/>
    <w:docVar w:name="dvOriginalBody" w:val="House"/>
    <w:docVar w:name="dvSteno" w:val="GGS"/>
    <w:docVar w:name="NameofBody" w:val="h"/>
    <w:docVar w:name="vgroup2" w:val="Council"/>
  </w:docVars>
  <w:rsids>
    <w:rsidRoot w:val="00FB21F3"/>
    <w:rsid w:val="00150213"/>
    <w:rsid w:val="00440F0E"/>
    <w:rsid w:val="00494E2F"/>
    <w:rsid w:val="005C6C62"/>
    <w:rsid w:val="007E6A7C"/>
    <w:rsid w:val="00A9616E"/>
    <w:rsid w:val="00FB2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2C690E-EAF5-42E0-A159-04A5A6310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1F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B21F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1F3"/>
    <w:rPr>
      <w:rFonts w:eastAsia="Times New Roman" w:cs="Times New Roman"/>
      <w:b/>
      <w:sz w:val="30"/>
      <w:szCs w:val="20"/>
    </w:rPr>
  </w:style>
  <w:style w:type="paragraph" w:styleId="Header">
    <w:name w:val="header"/>
    <w:basedOn w:val="Normal"/>
    <w:link w:val="HeaderChar"/>
    <w:uiPriority w:val="99"/>
    <w:semiHidden/>
    <w:unhideWhenUsed/>
    <w:rsid w:val="00FB21F3"/>
    <w:pPr>
      <w:tabs>
        <w:tab w:val="center" w:pos="4320"/>
        <w:tab w:val="right" w:pos="8640"/>
      </w:tabs>
    </w:pPr>
  </w:style>
  <w:style w:type="character" w:customStyle="1" w:styleId="HeaderChar">
    <w:name w:val="Header Char"/>
    <w:basedOn w:val="DefaultParagraphFont"/>
    <w:link w:val="Header"/>
    <w:uiPriority w:val="99"/>
    <w:semiHidden/>
    <w:rsid w:val="00FB21F3"/>
    <w:rPr>
      <w:rFonts w:eastAsia="Times New Roman" w:cs="Times New Roman"/>
      <w:szCs w:val="20"/>
    </w:rPr>
  </w:style>
  <w:style w:type="paragraph" w:styleId="Footer">
    <w:name w:val="footer"/>
    <w:basedOn w:val="Normal"/>
    <w:link w:val="FooterChar"/>
    <w:uiPriority w:val="99"/>
    <w:unhideWhenUsed/>
    <w:rsid w:val="00FB21F3"/>
    <w:pPr>
      <w:tabs>
        <w:tab w:val="center" w:pos="4680"/>
        <w:tab w:val="right" w:pos="9360"/>
      </w:tabs>
    </w:pPr>
  </w:style>
  <w:style w:type="character" w:customStyle="1" w:styleId="FooterChar">
    <w:name w:val="Footer Char"/>
    <w:basedOn w:val="DefaultParagraphFont"/>
    <w:link w:val="Footer"/>
    <w:uiPriority w:val="99"/>
    <w:rsid w:val="00FB21F3"/>
    <w:rPr>
      <w:rFonts w:eastAsia="Times New Roman" w:cs="Times New Roman"/>
      <w:szCs w:val="20"/>
    </w:rPr>
  </w:style>
  <w:style w:type="character" w:styleId="PageNumber">
    <w:name w:val="page number"/>
    <w:basedOn w:val="DefaultParagraphFont"/>
    <w:uiPriority w:val="99"/>
    <w:semiHidden/>
    <w:unhideWhenUsed/>
    <w:rsid w:val="00FB21F3"/>
  </w:style>
  <w:style w:type="character" w:styleId="LineNumber">
    <w:name w:val="line number"/>
    <w:basedOn w:val="DefaultParagraphFont"/>
    <w:uiPriority w:val="99"/>
    <w:semiHidden/>
    <w:unhideWhenUsed/>
    <w:rsid w:val="00FB21F3"/>
  </w:style>
  <w:style w:type="paragraph" w:customStyle="1" w:styleId="BillDots">
    <w:name w:val="Bill Dots"/>
    <w:basedOn w:val="Normal"/>
    <w:qFormat/>
    <w:rsid w:val="00FB21F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B21F3"/>
    <w:pPr>
      <w:tabs>
        <w:tab w:val="right" w:pos="5904"/>
      </w:tabs>
    </w:pPr>
  </w:style>
  <w:style w:type="paragraph" w:styleId="BalloonText">
    <w:name w:val="Balloon Text"/>
    <w:basedOn w:val="Normal"/>
    <w:link w:val="BalloonTextChar"/>
    <w:uiPriority w:val="99"/>
    <w:semiHidden/>
    <w:unhideWhenUsed/>
    <w:rsid w:val="00FB21F3"/>
    <w:rPr>
      <w:rFonts w:ascii="Tahoma" w:hAnsi="Tahoma" w:cs="Tahoma"/>
      <w:sz w:val="16"/>
      <w:szCs w:val="16"/>
    </w:rPr>
  </w:style>
  <w:style w:type="character" w:customStyle="1" w:styleId="BalloonTextChar">
    <w:name w:val="Balloon Text Char"/>
    <w:basedOn w:val="DefaultParagraphFont"/>
    <w:link w:val="BalloonText"/>
    <w:uiPriority w:val="99"/>
    <w:semiHidden/>
    <w:rsid w:val="00FB21F3"/>
    <w:rPr>
      <w:rFonts w:ascii="Tahoma" w:eastAsia="Times New Roman" w:hAnsi="Tahoma" w:cs="Tahoma"/>
      <w:sz w:val="16"/>
      <w:szCs w:val="16"/>
    </w:rPr>
  </w:style>
  <w:style w:type="character" w:styleId="Hyperlink">
    <w:name w:val="Hyperlink"/>
    <w:basedOn w:val="DefaultParagraphFont"/>
    <w:uiPriority w:val="99"/>
    <w:unhideWhenUsed/>
    <w:rsid w:val="00FB21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31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72F8C-CC8C-4475-8027-B0F71FFB9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365</Words>
  <Characters>1890</Characters>
  <Application>Microsoft Office Word</Application>
  <DocSecurity>0</DocSecurity>
  <Lines>76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3831: Rental property - South Carolina Legislature Online</dc:title>
  <dc:subject/>
  <dc:creator>GGS</dc:creator>
  <cp:keywords/>
  <dc:description/>
  <cp:lastModifiedBy>N Cumfer</cp:lastModifiedBy>
  <cp:revision>9</cp:revision>
  <cp:lastPrinted>2009-03-31T14:14:00Z</cp:lastPrinted>
  <dcterms:created xsi:type="dcterms:W3CDTF">2009-04-01T14:43:00Z</dcterms:created>
  <dcterms:modified xsi:type="dcterms:W3CDTF">2014-11-24T16:13:00Z</dcterms:modified>
</cp:coreProperties>
</file>