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A35" w:rsidRDefault="00E15CBC">
      <w:pPr>
        <w:widowControl w:val="0"/>
        <w:jc w:val="center"/>
      </w:pPr>
      <w:bookmarkStart w:id="0" w:name="_GoBack"/>
      <w:bookmarkEnd w:id="0"/>
      <w:r>
        <w:rPr>
          <w:b/>
        </w:rPr>
        <w:t>South Carolina General Assembly</w:t>
      </w:r>
    </w:p>
    <w:p w:rsidR="00127A35" w:rsidRDefault="00E15CBC">
      <w:pPr>
        <w:widowControl w:val="0"/>
        <w:jc w:val="center"/>
      </w:pPr>
      <w:r>
        <w:t>118th Session, 2009-2010</w:t>
      </w:r>
    </w:p>
    <w:p w:rsidR="00127A35" w:rsidRDefault="00127A35">
      <w:pPr>
        <w:widowControl w:val="0"/>
        <w:jc w:val="left"/>
      </w:pPr>
    </w:p>
    <w:p w:rsidR="00127A35" w:rsidRDefault="00E15CBC">
      <w:pPr>
        <w:widowControl w:val="0"/>
        <w:jc w:val="left"/>
        <w:rPr>
          <w:b/>
        </w:rPr>
      </w:pPr>
      <w:r>
        <w:rPr>
          <w:b/>
        </w:rPr>
        <w:t>H. 3921</w:t>
      </w:r>
    </w:p>
    <w:p w:rsidR="00127A35" w:rsidRDefault="00127A35">
      <w:pPr>
        <w:widowControl w:val="0"/>
        <w:jc w:val="left"/>
        <w:rPr>
          <w:b/>
        </w:rPr>
      </w:pPr>
    </w:p>
    <w:p w:rsidR="00127A35" w:rsidRDefault="00E15CBC">
      <w:pPr>
        <w:widowControl w:val="0"/>
        <w:jc w:val="left"/>
      </w:pPr>
      <w:r>
        <w:rPr>
          <w:b/>
        </w:rPr>
        <w:t>STATUS INFORMATION</w:t>
      </w:r>
    </w:p>
    <w:p w:rsidR="00127A35" w:rsidRDefault="00127A35">
      <w:pPr>
        <w:widowControl w:val="0"/>
        <w:jc w:val="left"/>
      </w:pPr>
    </w:p>
    <w:p w:rsidR="00127A35" w:rsidRDefault="00E15CBC">
      <w:pPr>
        <w:widowControl w:val="0"/>
        <w:jc w:val="left"/>
      </w:pPr>
      <w:r>
        <w:t>General Bill</w:t>
      </w:r>
    </w:p>
    <w:p w:rsidR="00127A35" w:rsidRDefault="00E15CBC">
      <w:pPr>
        <w:widowControl w:val="0"/>
        <w:jc w:val="left"/>
      </w:pPr>
      <w:r>
        <w:t>Sponsors: Reps. Gunn, McEachern, King, Ballentine and J.H. Neal</w:t>
      </w:r>
    </w:p>
    <w:p w:rsidR="00127A35" w:rsidRDefault="00E15CBC">
      <w:pPr>
        <w:widowControl w:val="0"/>
        <w:jc w:val="left"/>
      </w:pPr>
      <w:r>
        <w:t>Document Path: l:\council\bills\agm\19355mm09.docx</w:t>
      </w:r>
    </w:p>
    <w:p w:rsidR="00127A35" w:rsidRDefault="00127A35">
      <w:pPr>
        <w:widowControl w:val="0"/>
        <w:jc w:val="left"/>
      </w:pPr>
    </w:p>
    <w:p w:rsidR="00127A35" w:rsidRDefault="00E15CBC">
      <w:pPr>
        <w:widowControl w:val="0"/>
        <w:jc w:val="left"/>
      </w:pPr>
      <w:r>
        <w:t>Introduced in the House on April 22, 2009</w:t>
      </w:r>
    </w:p>
    <w:p w:rsidR="00127A35" w:rsidRDefault="00E15CBC">
      <w:pPr>
        <w:widowControl w:val="0"/>
        <w:jc w:val="left"/>
      </w:pPr>
      <w:r>
        <w:t xml:space="preserve">Currently residing in the House Committee on </w:t>
      </w:r>
      <w:r>
        <w:rPr>
          <w:b/>
        </w:rPr>
        <w:t>Judiciary</w:t>
      </w:r>
    </w:p>
    <w:p w:rsidR="00127A35" w:rsidRDefault="00127A35">
      <w:pPr>
        <w:widowControl w:val="0"/>
        <w:jc w:val="left"/>
      </w:pPr>
    </w:p>
    <w:p w:rsidR="00127A35" w:rsidRDefault="00E15CBC">
      <w:pPr>
        <w:widowControl w:val="0"/>
        <w:jc w:val="left"/>
      </w:pPr>
      <w:r>
        <w:t>Summary: Fraudulent check</w:t>
      </w:r>
    </w:p>
    <w:p w:rsidR="00127A35" w:rsidRDefault="00127A35">
      <w:pPr>
        <w:widowControl w:val="0"/>
        <w:jc w:val="left"/>
      </w:pPr>
    </w:p>
    <w:p w:rsidR="00127A35" w:rsidRDefault="00127A35">
      <w:pPr>
        <w:widowControl w:val="0"/>
        <w:jc w:val="left"/>
      </w:pPr>
    </w:p>
    <w:p w:rsidR="00127A35" w:rsidRDefault="00E15CBC">
      <w:pPr>
        <w:widowControl w:val="0"/>
        <w:tabs>
          <w:tab w:val="center" w:pos="590"/>
          <w:tab w:val="center" w:pos="1440"/>
          <w:tab w:val="left" w:pos="1872"/>
          <w:tab w:val="left" w:pos="9187"/>
        </w:tabs>
        <w:jc w:val="left"/>
      </w:pPr>
      <w:r>
        <w:rPr>
          <w:b/>
        </w:rPr>
        <w:t>HISTORY OF LEGISLATIVE ACTIONS</w:t>
      </w:r>
    </w:p>
    <w:p w:rsidR="00127A35" w:rsidRDefault="00127A35">
      <w:pPr>
        <w:widowControl w:val="0"/>
        <w:tabs>
          <w:tab w:val="center" w:pos="590"/>
          <w:tab w:val="center" w:pos="1440"/>
          <w:tab w:val="left" w:pos="1872"/>
          <w:tab w:val="left" w:pos="9187"/>
        </w:tabs>
        <w:jc w:val="left"/>
      </w:pPr>
    </w:p>
    <w:p w:rsidR="00127A35" w:rsidRDefault="00E15CB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27A35" w:rsidRDefault="00E15CBC">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31335D">
          <w:rPr>
            <w:rStyle w:val="Hyperlink"/>
          </w:rPr>
          <w:t>HJ</w:t>
        </w:r>
      </w:hyperlink>
      <w:r>
        <w:noBreakHyphen/>
        <w:t>14</w:t>
      </w:r>
    </w:p>
    <w:p w:rsidR="00127A35" w:rsidRDefault="00E15CBC">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Judiciary</w:t>
      </w:r>
      <w:r>
        <w:t xml:space="preserve"> </w:t>
      </w:r>
      <w:hyperlink r:id="rId8" w:history="1">
        <w:r w:rsidRPr="0031335D">
          <w:rPr>
            <w:rStyle w:val="Hyperlink"/>
          </w:rPr>
          <w:t>HJ</w:t>
        </w:r>
      </w:hyperlink>
      <w:r>
        <w:noBreakHyphen/>
        <w:t>14</w:t>
      </w:r>
    </w:p>
    <w:p w:rsidR="00127A35" w:rsidRDefault="00127A35">
      <w:pPr>
        <w:widowControl w:val="0"/>
        <w:tabs>
          <w:tab w:val="right" w:pos="1008"/>
          <w:tab w:val="left" w:pos="1152"/>
          <w:tab w:val="left" w:pos="1872"/>
          <w:tab w:val="left" w:pos="9187"/>
        </w:tabs>
        <w:ind w:left="2088" w:hanging="2088"/>
        <w:jc w:val="left"/>
      </w:pPr>
    </w:p>
    <w:p w:rsidR="00127A35" w:rsidRDefault="00127A35">
      <w:pPr>
        <w:widowControl w:val="0"/>
        <w:tabs>
          <w:tab w:val="right" w:pos="1008"/>
          <w:tab w:val="left" w:pos="1152"/>
          <w:tab w:val="left" w:pos="1872"/>
          <w:tab w:val="left" w:pos="9187"/>
        </w:tabs>
        <w:ind w:left="2088" w:hanging="2088"/>
        <w:jc w:val="left"/>
      </w:pPr>
    </w:p>
    <w:p w:rsidR="00127A35" w:rsidRDefault="00E15CBC">
      <w:pPr>
        <w:widowControl w:val="0"/>
        <w:jc w:val="left"/>
      </w:pPr>
      <w:r>
        <w:rPr>
          <w:b/>
        </w:rPr>
        <w:t>VERSIONS OF THIS BILL</w:t>
      </w:r>
    </w:p>
    <w:p w:rsidR="00127A35" w:rsidRDefault="00127A35">
      <w:pPr>
        <w:widowControl w:val="0"/>
        <w:jc w:val="left"/>
      </w:pPr>
    </w:p>
    <w:p w:rsidR="00127A35" w:rsidRDefault="003616C2">
      <w:pPr>
        <w:widowControl w:val="0"/>
        <w:jc w:val="left"/>
      </w:pPr>
      <w:hyperlink r:id="rId9" w:history="1">
        <w:r w:rsidR="00E15CBC">
          <w:rPr>
            <w:rStyle w:val="Hyperlink"/>
          </w:rPr>
          <w:t>4/22/2009</w:t>
        </w:r>
      </w:hyperlink>
    </w:p>
    <w:p w:rsidR="00127A35" w:rsidRDefault="00127A35"/>
    <w:p w:rsidR="00127A35" w:rsidRDefault="00127A35">
      <w:pPr>
        <w:sectPr w:rsidR="00127A35">
          <w:pgSz w:w="12240" w:h="15840" w:code="1"/>
          <w:pgMar w:top="1080" w:right="1440" w:bottom="1080" w:left="1440" w:header="720" w:footer="720" w:gutter="0"/>
          <w:cols w:space="720"/>
          <w:noEndnote/>
          <w:docGrid w:linePitch="360"/>
        </w:sectPr>
      </w:pPr>
    </w:p>
    <w:p w:rsidR="00127A35" w:rsidRDefault="00127A35">
      <w:pPr>
        <w:pStyle w:val="BillDots"/>
      </w:pPr>
    </w:p>
    <w:p w:rsidR="00127A35" w:rsidRDefault="00127A35">
      <w:pPr>
        <w:pStyle w:val="Numbersforbills"/>
      </w:pP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34</w:t>
      </w:r>
      <w:r>
        <w:noBreakHyphen/>
        <w:t>11</w:t>
      </w:r>
      <w:r>
        <w:noBreakHyphen/>
        <w:t>60, AS AMENDED, CODE OF LAWS OF SOUTH CAROLINA, 1976, RELATING TO THE DRAWING AND UTTERING OF A FRAUDULENT CHECK, SO AS TO ADD A FINGERPRINT EXEMPLAR AS AN ITEM THE RECEIVER OF THE CHECK MUST OBTAIN TO PRESENT PRIMA FACIE EVIDENCE OF THE IDENTITY OF THE ISSUER OF THE CHECK.</w:t>
      </w: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34</w:t>
      </w:r>
      <w:r>
        <w:noBreakHyphen/>
        <w:t>11</w:t>
      </w:r>
      <w:r>
        <w:noBreakHyphen/>
        <w:t>60(b) of the 1976 Code, as last amended by Act 235 of 1996, is further amended to read:</w:t>
      </w: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 any prosecution or action </w:t>
      </w:r>
      <w:r>
        <w:rPr>
          <w:strike/>
        </w:rPr>
        <w:t>under the provisions of</w:t>
      </w:r>
      <w:r>
        <w:t xml:space="preserve"> </w:t>
      </w:r>
      <w:r>
        <w:rPr>
          <w:u w:val="single"/>
        </w:rPr>
        <w:t>pursuant to</w:t>
      </w:r>
      <w:r>
        <w:t xml:space="preserve"> this section, a check, draft, or other written order for which the information required in item (1) of this subsection is available at the time of issuance </w:t>
      </w:r>
      <w:r>
        <w:rPr>
          <w:strike/>
        </w:rPr>
        <w:t>shall constitute</w:t>
      </w:r>
      <w:r>
        <w:t xml:space="preserve"> </w:t>
      </w:r>
      <w:r>
        <w:rPr>
          <w:u w:val="single"/>
        </w:rPr>
        <w:t>constitutes</w:t>
      </w:r>
      <w:r>
        <w:t xml:space="preserve"> prima facie evidence of the identity of the party issuing the check, draft, or other written order and that </w:t>
      </w:r>
      <w:r>
        <w:rPr>
          <w:strike/>
        </w:rPr>
        <w:t>such</w:t>
      </w:r>
      <w:r>
        <w:t xml:space="preserve"> </w:t>
      </w:r>
      <w:r>
        <w:rPr>
          <w:u w:val="single"/>
        </w:rPr>
        <w:t>the</w:t>
      </w:r>
      <w:r>
        <w:t xml:space="preserve"> person was a party authorized to draw upon the named account.  The failure of the person receiving the check to obtain the information specified in items (1) or (2) of this subsection </w:t>
      </w:r>
      <w:r>
        <w:rPr>
          <w:strike/>
        </w:rPr>
        <w:t>shall</w:t>
      </w:r>
      <w:r>
        <w:t xml:space="preserve"> </w:t>
      </w:r>
      <w:r>
        <w:rPr>
          <w:u w:val="single"/>
        </w:rPr>
        <w:t>does</w:t>
      </w:r>
      <w:r>
        <w:t xml:space="preserve"> not warrant dismissal of a prosecution or other action brought pursuant to this section, but the party bringing the action </w:t>
      </w:r>
      <w:r>
        <w:rPr>
          <w:strike/>
        </w:rPr>
        <w:t>shall</w:t>
      </w:r>
      <w:r>
        <w:t xml:space="preserve"> in </w:t>
      </w:r>
      <w:r>
        <w:rPr>
          <w:strike/>
        </w:rPr>
        <w:t>such</w:t>
      </w:r>
      <w:r>
        <w:t xml:space="preserve"> </w:t>
      </w:r>
      <w:r>
        <w:rPr>
          <w:u w:val="single"/>
        </w:rPr>
        <w:t>those</w:t>
      </w:r>
      <w:r>
        <w:t xml:space="preserve"> circumstances </w:t>
      </w:r>
      <w:r>
        <w:rPr>
          <w:strike/>
        </w:rPr>
        <w:t>have</w:t>
      </w:r>
      <w:r>
        <w:t xml:space="preserve"> </w:t>
      </w:r>
      <w:r>
        <w:rPr>
          <w:u w:val="single"/>
        </w:rPr>
        <w:t>has</w:t>
      </w:r>
      <w:r>
        <w:t xml:space="preserve"> the burden of proving that the defendant signed or endorsed the check and presented it in payment of some debt or other obligation.</w:t>
      </w:r>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tab/>
      </w:r>
      <w:r>
        <w:rPr>
          <w:szCs w:val="24"/>
        </w:rPr>
        <w:t>(1)</w:t>
      </w:r>
      <w:r>
        <w:rPr>
          <w:szCs w:val="24"/>
        </w:rPr>
        <w:tab/>
        <w:t xml:space="preserve">To establish this prima facie evidence, the full name, residence address, </w:t>
      </w:r>
      <w:r>
        <w:rPr>
          <w:strike/>
          <w:szCs w:val="24"/>
        </w:rPr>
        <w:t>and</w:t>
      </w:r>
      <w:r>
        <w:rPr>
          <w:szCs w:val="24"/>
        </w:rPr>
        <w:t xml:space="preserve"> home telephone number</w:t>
      </w:r>
      <w:r>
        <w:rPr>
          <w:szCs w:val="24"/>
          <w:u w:val="single"/>
        </w:rPr>
        <w:t>, and a fingerprint exemplar</w:t>
      </w:r>
      <w:r>
        <w:rPr>
          <w:szCs w:val="24"/>
        </w:rPr>
        <w:t xml:space="preserve"> of the person presenting the check, draft, or other written order </w:t>
      </w:r>
      <w:r>
        <w:rPr>
          <w:strike/>
          <w:szCs w:val="24"/>
        </w:rPr>
        <w:t>shall</w:t>
      </w:r>
      <w:r>
        <w:rPr>
          <w:szCs w:val="24"/>
        </w:rPr>
        <w:t xml:space="preserve"> </w:t>
      </w:r>
      <w:r>
        <w:rPr>
          <w:szCs w:val="24"/>
          <w:u w:val="single"/>
        </w:rPr>
        <w:t>must</w:t>
      </w:r>
      <w:r>
        <w:rPr>
          <w:szCs w:val="24"/>
        </w:rPr>
        <w:t xml:space="preserve"> be obtained by the party receiving the instrument.  </w:t>
      </w:r>
      <w:r>
        <w:rPr>
          <w:szCs w:val="24"/>
        </w:rPr>
        <w:lastRenderedPageBreak/>
        <w:t>This information may be provided by having the information recorded on the check or instrument itself, or the number of a check</w:t>
      </w:r>
      <w:r>
        <w:rPr>
          <w:szCs w:val="24"/>
        </w:rPr>
        <w:noBreakHyphen/>
        <w:t>cashing identification card issued by the receiving party may be recorded on the check.  The check</w:t>
      </w:r>
      <w:r>
        <w:rPr>
          <w:szCs w:val="24"/>
        </w:rPr>
        <w:noBreakHyphen/>
        <w:t xml:space="preserve">cashing identification card </w:t>
      </w:r>
      <w:r>
        <w:rPr>
          <w:strike/>
          <w:szCs w:val="24"/>
        </w:rPr>
        <w:t>shall</w:t>
      </w:r>
      <w:r>
        <w:rPr>
          <w:szCs w:val="24"/>
        </w:rPr>
        <w:t xml:space="preserve"> </w:t>
      </w:r>
      <w:r>
        <w:rPr>
          <w:szCs w:val="24"/>
          <w:u w:val="single"/>
        </w:rPr>
        <w:t>may</w:t>
      </w:r>
      <w:r>
        <w:rPr>
          <w:szCs w:val="24"/>
        </w:rPr>
        <w:t xml:space="preserve"> be issued only after the full name, residence address, </w:t>
      </w:r>
      <w:r>
        <w:rPr>
          <w:strike/>
          <w:szCs w:val="24"/>
        </w:rPr>
        <w:t>and</w:t>
      </w:r>
      <w:r>
        <w:rPr>
          <w:szCs w:val="24"/>
        </w:rPr>
        <w:t xml:space="preserve"> home telephone number</w:t>
      </w:r>
      <w:r>
        <w:rPr>
          <w:szCs w:val="24"/>
          <w:u w:val="single"/>
        </w:rPr>
        <w:t>, and fingerprint exemplar</w:t>
      </w:r>
      <w:r>
        <w:rPr>
          <w:szCs w:val="24"/>
        </w:rPr>
        <w:t xml:space="preserve"> of the person presenting the check, draft, or other written order has been placed on file by the receiving party. </w:t>
      </w:r>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(2)</w:t>
      </w:r>
      <w:r>
        <w:rPr>
          <w:szCs w:val="24"/>
        </w:rPr>
        <w:tab/>
        <w:t xml:space="preserve">In addition to the information required in item (1) of this subsection, the party receiving a check shall witness the signature or endorsement of the party presenting the check and as evidence of </w:t>
      </w:r>
      <w:r>
        <w:rPr>
          <w:strike/>
          <w:szCs w:val="24"/>
        </w:rPr>
        <w:t>such</w:t>
      </w:r>
      <w:r>
        <w:rPr>
          <w:szCs w:val="24"/>
        </w:rPr>
        <w:t xml:space="preserve"> </w:t>
      </w:r>
      <w:r>
        <w:rPr>
          <w:szCs w:val="24"/>
          <w:u w:val="single"/>
        </w:rPr>
        <w:t>witnessing it</w:t>
      </w:r>
      <w:r>
        <w:rPr>
          <w:szCs w:val="24"/>
        </w:rPr>
        <w:t xml:space="preserve">, the receiving party shall initial the check.  Validation by a bank teller machine </w:t>
      </w:r>
      <w:r>
        <w:rPr>
          <w:strike/>
          <w:szCs w:val="24"/>
        </w:rPr>
        <w:t>shall constitute</w:t>
      </w:r>
      <w:r>
        <w:rPr>
          <w:szCs w:val="24"/>
        </w:rPr>
        <w:t xml:space="preserve"> </w:t>
      </w:r>
      <w:r>
        <w:rPr>
          <w:szCs w:val="24"/>
          <w:u w:val="single"/>
        </w:rPr>
        <w:t>constitutes</w:t>
      </w:r>
      <w:r>
        <w:rPr>
          <w:szCs w:val="24"/>
        </w:rPr>
        <w:t xml:space="preserve"> compliance with this item.</w:t>
      </w:r>
      <w:r>
        <w:t>”</w:t>
      </w: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27A35" w:rsidRDefault="00127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all prosecutions or actions filed after that date.</w:t>
      </w:r>
    </w:p>
    <w:p w:rsidR="00127A35" w:rsidRDefault="00E1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7A35" w:rsidRDefault="00127A35">
      <w:pPr>
        <w:suppressAutoHyphens/>
      </w:pPr>
    </w:p>
    <w:sectPr w:rsidR="00127A35" w:rsidSect="00127A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A35" w:rsidRDefault="00E15CBC">
      <w:r>
        <w:separator/>
      </w:r>
    </w:p>
  </w:endnote>
  <w:endnote w:type="continuationSeparator" w:id="0">
    <w:p w:rsidR="00127A35" w:rsidRDefault="00E15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825FEA-0299-4A64-88B2-8DA8293BA578}"/>
    <w:embedBold r:id="rId2" w:fontKey="{6CA3D803-ABE0-43FD-9FDA-6D3A07FAA192}"/>
  </w:font>
  <w:font w:name="Calibri">
    <w:panose1 w:val="020F0502020204030204"/>
    <w:charset w:val="00"/>
    <w:family w:val="swiss"/>
    <w:pitch w:val="variable"/>
    <w:sig w:usb0="E10002FF" w:usb1="4000ACFF" w:usb2="00000009" w:usb3="00000000" w:csb0="0000019F" w:csb1="00000000"/>
    <w:embedRegular r:id="rId3" w:fontKey="{7067A186-661B-458D-AC92-2992F41D8441}"/>
  </w:font>
  <w:font w:name="Cambria">
    <w:panose1 w:val="02040503050406030204"/>
    <w:charset w:val="00"/>
    <w:family w:val="roman"/>
    <w:pitch w:val="variable"/>
    <w:sig w:usb0="E00002FF" w:usb1="400004FF" w:usb2="00000000" w:usb3="00000000" w:csb0="0000019F" w:csb1="00000000"/>
    <w:embedRegular r:id="rId4" w:fontKey="{E862985B-9CC7-4566-A0D9-7ED99A09CF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35" w:rsidRDefault="00E15CBC">
    <w:pPr>
      <w:pStyle w:val="Footer"/>
      <w:tabs>
        <w:tab w:val="clear" w:pos="4680"/>
        <w:tab w:val="clear" w:pos="9360"/>
        <w:tab w:val="center" w:pos="2995"/>
      </w:tabs>
      <w:spacing w:before="120"/>
    </w:pPr>
    <w:r>
      <w:t>[3921]</w:t>
    </w:r>
    <w:r>
      <w:tab/>
    </w:r>
    <w:r w:rsidR="003616C2">
      <w:fldChar w:fldCharType="begin"/>
    </w:r>
    <w:r w:rsidR="003616C2">
      <w:instrText xml:space="preserve"> PAGE  \* MERGEFORMAT </w:instrText>
    </w:r>
    <w:r w:rsidR="003616C2">
      <w:fldChar w:fldCharType="separate"/>
    </w:r>
    <w:r w:rsidR="003616C2">
      <w:rPr>
        <w:noProof/>
      </w:rPr>
      <w:t>1</w:t>
    </w:r>
    <w:r w:rsidR="003616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A35" w:rsidRDefault="00E15CBC">
      <w:r>
        <w:separator/>
      </w:r>
    </w:p>
  </w:footnote>
  <w:footnote w:type="continuationSeparator" w:id="0">
    <w:p w:rsidR="00127A35" w:rsidRDefault="00E15C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55MM09"/>
    <w:docVar w:name="CoverBillType" w:val="b"/>
    <w:docVar w:name="docpath" w:val="L:\Council\bills\AGM\19355MM09.DOCX"/>
    <w:docVar w:name="dvBillNumber" w:val="3921"/>
    <w:docVar w:name="dvBillNumberPrefix" w:val="H. "/>
    <w:docVar w:name="dvOriginalBody" w:val="House"/>
    <w:docVar w:name="dvSteno" w:val="AGM"/>
    <w:docVar w:name="NameofBody" w:val="h"/>
    <w:docVar w:name="vgroup2" w:val="Council"/>
  </w:docVars>
  <w:rsids>
    <w:rsidRoot w:val="00127A35"/>
    <w:rsid w:val="00127A35"/>
    <w:rsid w:val="0031335D"/>
    <w:rsid w:val="003616C2"/>
    <w:rsid w:val="00465AD3"/>
    <w:rsid w:val="00A26F6A"/>
    <w:rsid w:val="00CA40CD"/>
    <w:rsid w:val="00E1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76D470-0F0A-48DA-B849-E3E084DF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A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27A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A35"/>
    <w:rPr>
      <w:rFonts w:eastAsia="Times New Roman" w:cs="Times New Roman"/>
      <w:b/>
      <w:sz w:val="30"/>
      <w:szCs w:val="20"/>
    </w:rPr>
  </w:style>
  <w:style w:type="paragraph" w:styleId="Header">
    <w:name w:val="header"/>
    <w:basedOn w:val="Normal"/>
    <w:link w:val="HeaderChar"/>
    <w:uiPriority w:val="99"/>
    <w:semiHidden/>
    <w:unhideWhenUsed/>
    <w:rsid w:val="00127A35"/>
    <w:pPr>
      <w:tabs>
        <w:tab w:val="center" w:pos="4320"/>
        <w:tab w:val="right" w:pos="8640"/>
      </w:tabs>
    </w:pPr>
  </w:style>
  <w:style w:type="character" w:customStyle="1" w:styleId="HeaderChar">
    <w:name w:val="Header Char"/>
    <w:basedOn w:val="DefaultParagraphFont"/>
    <w:link w:val="Header"/>
    <w:uiPriority w:val="99"/>
    <w:semiHidden/>
    <w:rsid w:val="00127A35"/>
    <w:rPr>
      <w:rFonts w:eastAsia="Times New Roman" w:cs="Times New Roman"/>
      <w:szCs w:val="20"/>
    </w:rPr>
  </w:style>
  <w:style w:type="paragraph" w:styleId="Footer">
    <w:name w:val="footer"/>
    <w:basedOn w:val="Normal"/>
    <w:link w:val="FooterChar"/>
    <w:uiPriority w:val="99"/>
    <w:unhideWhenUsed/>
    <w:rsid w:val="00127A35"/>
    <w:pPr>
      <w:tabs>
        <w:tab w:val="center" w:pos="4680"/>
        <w:tab w:val="right" w:pos="9360"/>
      </w:tabs>
    </w:pPr>
  </w:style>
  <w:style w:type="character" w:customStyle="1" w:styleId="FooterChar">
    <w:name w:val="Footer Char"/>
    <w:basedOn w:val="DefaultParagraphFont"/>
    <w:link w:val="Footer"/>
    <w:uiPriority w:val="99"/>
    <w:rsid w:val="00127A35"/>
    <w:rPr>
      <w:rFonts w:eastAsia="Times New Roman" w:cs="Times New Roman"/>
      <w:szCs w:val="20"/>
    </w:rPr>
  </w:style>
  <w:style w:type="character" w:styleId="PageNumber">
    <w:name w:val="page number"/>
    <w:basedOn w:val="DefaultParagraphFont"/>
    <w:uiPriority w:val="99"/>
    <w:semiHidden/>
    <w:unhideWhenUsed/>
    <w:rsid w:val="00127A35"/>
  </w:style>
  <w:style w:type="character" w:styleId="LineNumber">
    <w:name w:val="line number"/>
    <w:basedOn w:val="DefaultParagraphFont"/>
    <w:uiPriority w:val="99"/>
    <w:semiHidden/>
    <w:unhideWhenUsed/>
    <w:rsid w:val="00127A35"/>
  </w:style>
  <w:style w:type="paragraph" w:customStyle="1" w:styleId="BillDots">
    <w:name w:val="Bill Dots"/>
    <w:basedOn w:val="Normal"/>
    <w:qFormat/>
    <w:rsid w:val="00127A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27A35"/>
    <w:pPr>
      <w:tabs>
        <w:tab w:val="right" w:pos="5904"/>
      </w:tabs>
    </w:pPr>
  </w:style>
  <w:style w:type="character" w:styleId="Hyperlink">
    <w:name w:val="Hyperlink"/>
    <w:basedOn w:val="DefaultParagraphFont"/>
    <w:uiPriority w:val="99"/>
    <w:unhideWhenUsed/>
    <w:rsid w:val="00127A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21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416A8-7135-4BD2-B5DB-A781C75CE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646</Words>
  <Characters>3347</Characters>
  <Application>Microsoft Office Word</Application>
  <DocSecurity>0</DocSecurity>
  <Lines>103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3921: Fraudulent check - South Carolina Legislature Online</dc:title>
  <dc:subject/>
  <dc:creator>ANGIE MORGAN</dc:creator>
  <cp:keywords/>
  <dc:description/>
  <cp:lastModifiedBy>N Cumfer</cp:lastModifiedBy>
  <cp:revision>8</cp:revision>
  <cp:lastPrinted>2009-03-19T13:37:00Z</cp:lastPrinted>
  <dcterms:created xsi:type="dcterms:W3CDTF">2009-04-22T14:44:00Z</dcterms:created>
  <dcterms:modified xsi:type="dcterms:W3CDTF">2014-11-24T16:15:00Z</dcterms:modified>
</cp:coreProperties>
</file>