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4CC9" w:rsidRDefault="00F43F9A">
      <w:pPr>
        <w:widowControl w:val="0"/>
        <w:jc w:val="center"/>
      </w:pPr>
      <w:bookmarkStart w:id="0" w:name="_GoBack"/>
      <w:bookmarkEnd w:id="0"/>
      <w:r>
        <w:rPr>
          <w:b/>
        </w:rPr>
        <w:t>South Carolina General Assembly</w:t>
      </w:r>
    </w:p>
    <w:p w:rsidR="00DF4CC9" w:rsidRDefault="00F43F9A">
      <w:pPr>
        <w:widowControl w:val="0"/>
        <w:jc w:val="center"/>
      </w:pPr>
      <w:r>
        <w:t>118th Session, 2009-2010</w:t>
      </w:r>
    </w:p>
    <w:p w:rsidR="00DF4CC9" w:rsidRDefault="00DF4CC9">
      <w:pPr>
        <w:widowControl w:val="0"/>
      </w:pPr>
    </w:p>
    <w:p w:rsidR="00DF4CC9" w:rsidRDefault="00F43F9A">
      <w:pPr>
        <w:widowControl w:val="0"/>
        <w:rPr>
          <w:b/>
        </w:rPr>
      </w:pPr>
      <w:r>
        <w:rPr>
          <w:b/>
        </w:rPr>
        <w:t>S. 485</w:t>
      </w:r>
    </w:p>
    <w:p w:rsidR="00DF4CC9" w:rsidRDefault="00DF4CC9">
      <w:pPr>
        <w:widowControl w:val="0"/>
        <w:rPr>
          <w:b/>
        </w:rPr>
      </w:pPr>
    </w:p>
    <w:p w:rsidR="00DF4CC9" w:rsidRDefault="00F43F9A">
      <w:pPr>
        <w:widowControl w:val="0"/>
      </w:pPr>
      <w:r>
        <w:rPr>
          <w:b/>
        </w:rPr>
        <w:t>STATUS INFORMATION</w:t>
      </w:r>
    </w:p>
    <w:p w:rsidR="00DF4CC9" w:rsidRDefault="00DF4CC9">
      <w:pPr>
        <w:widowControl w:val="0"/>
      </w:pPr>
    </w:p>
    <w:p w:rsidR="00DF4CC9" w:rsidRDefault="00F43F9A">
      <w:pPr>
        <w:widowControl w:val="0"/>
      </w:pPr>
      <w:r>
        <w:t>General Bill</w:t>
      </w:r>
    </w:p>
    <w:p w:rsidR="00DF4CC9" w:rsidRDefault="00F43F9A">
      <w:pPr>
        <w:widowControl w:val="0"/>
      </w:pPr>
      <w:r>
        <w:t>Sponsors: Senators Lourie and Rose</w:t>
      </w:r>
    </w:p>
    <w:p w:rsidR="00DF4CC9" w:rsidRDefault="00F43F9A">
      <w:pPr>
        <w:widowControl w:val="0"/>
      </w:pPr>
      <w:r>
        <w:t>Document Path: l:\s-resmin\drafting\jl\008chil.tcm.jl.docx</w:t>
      </w:r>
    </w:p>
    <w:p w:rsidR="00DF4CC9" w:rsidRDefault="00DF4CC9">
      <w:pPr>
        <w:widowControl w:val="0"/>
      </w:pPr>
    </w:p>
    <w:p w:rsidR="00DF4CC9" w:rsidRDefault="00F43F9A">
      <w:pPr>
        <w:widowControl w:val="0"/>
      </w:pPr>
      <w:r>
        <w:t>Introduced in the Senate on February 25, 2009</w:t>
      </w:r>
    </w:p>
    <w:p w:rsidR="00DF4CC9" w:rsidRDefault="00F43F9A">
      <w:pPr>
        <w:widowControl w:val="0"/>
      </w:pPr>
      <w:r>
        <w:t xml:space="preserve">Currently residing in the Senate Committee on </w:t>
      </w:r>
      <w:r>
        <w:rPr>
          <w:b/>
        </w:rPr>
        <w:t>Judiciary</w:t>
      </w:r>
    </w:p>
    <w:p w:rsidR="00DF4CC9" w:rsidRDefault="00DF4CC9">
      <w:pPr>
        <w:widowControl w:val="0"/>
      </w:pPr>
    </w:p>
    <w:p w:rsidR="00DF4CC9" w:rsidRDefault="00F43F9A">
      <w:pPr>
        <w:widowControl w:val="0"/>
      </w:pPr>
      <w:r>
        <w:t>Summary: Childcare Safety Enhancement Act of 2009</w:t>
      </w:r>
    </w:p>
    <w:p w:rsidR="00DF4CC9" w:rsidRDefault="00DF4CC9">
      <w:pPr>
        <w:widowControl w:val="0"/>
      </w:pPr>
    </w:p>
    <w:p w:rsidR="00DF4CC9" w:rsidRDefault="00DF4CC9">
      <w:pPr>
        <w:widowControl w:val="0"/>
      </w:pPr>
    </w:p>
    <w:p w:rsidR="00DF4CC9" w:rsidRDefault="00F43F9A">
      <w:pPr>
        <w:widowControl w:val="0"/>
        <w:tabs>
          <w:tab w:val="center" w:pos="590"/>
          <w:tab w:val="center" w:pos="1440"/>
          <w:tab w:val="left" w:pos="1872"/>
          <w:tab w:val="left" w:pos="9187"/>
        </w:tabs>
      </w:pPr>
      <w:r>
        <w:rPr>
          <w:b/>
        </w:rPr>
        <w:t>HISTORY OF LEGISLATIVE ACTIONS</w:t>
      </w:r>
    </w:p>
    <w:p w:rsidR="00DF4CC9" w:rsidRDefault="00DF4CC9">
      <w:pPr>
        <w:widowControl w:val="0"/>
        <w:tabs>
          <w:tab w:val="center" w:pos="590"/>
          <w:tab w:val="center" w:pos="1440"/>
          <w:tab w:val="left" w:pos="1872"/>
          <w:tab w:val="left" w:pos="9187"/>
        </w:tabs>
      </w:pPr>
    </w:p>
    <w:p w:rsidR="00DF4CC9" w:rsidRDefault="00F43F9A">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4E3162" w:rsidRDefault="004E3162" w:rsidP="004E3162">
      <w:pPr>
        <w:widowControl w:val="0"/>
        <w:tabs>
          <w:tab w:val="right" w:pos="1008"/>
          <w:tab w:val="left" w:pos="1152"/>
          <w:tab w:val="left" w:pos="1872"/>
          <w:tab w:val="left" w:pos="9187"/>
        </w:tabs>
        <w:ind w:left="2088" w:hanging="2088"/>
      </w:pPr>
      <w:r>
        <w:tab/>
        <w:t>2/25/2009</w:t>
      </w:r>
      <w:r>
        <w:tab/>
        <w:t>Senate</w:t>
      </w:r>
      <w:r>
        <w:tab/>
      </w:r>
      <w:r w:rsidRPr="00414B0D">
        <w:t xml:space="preserve">Introduced and read first time </w:t>
      </w:r>
      <w:hyperlink r:id="rId6" w:history="1">
        <w:r w:rsidRPr="00ED2011">
          <w:rPr>
            <w:rStyle w:val="Hyperlink"/>
          </w:rPr>
          <w:t>SJ</w:t>
        </w:r>
      </w:hyperlink>
      <w:r>
        <w:noBreakHyphen/>
      </w:r>
      <w:r w:rsidRPr="00414B0D">
        <w:t>18</w:t>
      </w:r>
    </w:p>
    <w:p w:rsidR="004E3162" w:rsidRDefault="004E3162" w:rsidP="004E3162">
      <w:pPr>
        <w:widowControl w:val="0"/>
        <w:tabs>
          <w:tab w:val="right" w:pos="1008"/>
          <w:tab w:val="left" w:pos="1152"/>
          <w:tab w:val="left" w:pos="1872"/>
          <w:tab w:val="left" w:pos="9187"/>
        </w:tabs>
        <w:ind w:left="2088" w:hanging="2088"/>
      </w:pPr>
      <w:r>
        <w:tab/>
        <w:t>2/25/2009</w:t>
      </w:r>
      <w:r>
        <w:tab/>
        <w:t>Senate</w:t>
      </w:r>
      <w:r>
        <w:tab/>
      </w:r>
      <w:r w:rsidRPr="00414B0D">
        <w:t xml:space="preserve">Referred to Committee on </w:t>
      </w:r>
      <w:r w:rsidRPr="00414B0D">
        <w:rPr>
          <w:b/>
        </w:rPr>
        <w:t>Judiciary</w:t>
      </w:r>
      <w:r w:rsidRPr="00414B0D">
        <w:t xml:space="preserve"> </w:t>
      </w:r>
      <w:hyperlink r:id="rId7" w:history="1">
        <w:r w:rsidRPr="00ED2011">
          <w:rPr>
            <w:rStyle w:val="Hyperlink"/>
          </w:rPr>
          <w:t>SJ</w:t>
        </w:r>
      </w:hyperlink>
      <w:r>
        <w:noBreakHyphen/>
      </w:r>
      <w:r w:rsidRPr="00414B0D">
        <w:t>18</w:t>
      </w:r>
    </w:p>
    <w:p w:rsidR="004E3162" w:rsidRDefault="004E3162" w:rsidP="004E3162">
      <w:pPr>
        <w:widowControl w:val="0"/>
        <w:tabs>
          <w:tab w:val="right" w:pos="1008"/>
          <w:tab w:val="left" w:pos="1152"/>
          <w:tab w:val="left" w:pos="1872"/>
          <w:tab w:val="left" w:pos="9187"/>
        </w:tabs>
        <w:ind w:left="2088" w:hanging="2088"/>
      </w:pPr>
      <w:r>
        <w:tab/>
        <w:t>1/20/2010</w:t>
      </w:r>
      <w:r>
        <w:tab/>
        <w:t>Senate</w:t>
      </w:r>
      <w:r>
        <w:tab/>
      </w:r>
      <w:r w:rsidRPr="00414B0D">
        <w:t>Referred to Subco</w:t>
      </w:r>
      <w:r>
        <w:t xml:space="preserve">mmittee: Campbell (ch), Knotts, </w:t>
      </w:r>
      <w:r w:rsidRPr="00414B0D">
        <w:t>Campsen, Lourie</w:t>
      </w:r>
    </w:p>
    <w:p w:rsidR="004E3162" w:rsidRDefault="004E3162" w:rsidP="004E3162">
      <w:pPr>
        <w:widowControl w:val="0"/>
        <w:tabs>
          <w:tab w:val="right" w:pos="1008"/>
          <w:tab w:val="left" w:pos="1152"/>
          <w:tab w:val="left" w:pos="1872"/>
          <w:tab w:val="left" w:pos="9187"/>
        </w:tabs>
        <w:ind w:left="2088" w:hanging="2088"/>
      </w:pPr>
    </w:p>
    <w:p w:rsidR="00DF4CC9" w:rsidRDefault="00DF4CC9">
      <w:pPr>
        <w:widowControl w:val="0"/>
        <w:tabs>
          <w:tab w:val="right" w:pos="1008"/>
          <w:tab w:val="left" w:pos="1152"/>
          <w:tab w:val="left" w:pos="1872"/>
          <w:tab w:val="left" w:pos="9187"/>
        </w:tabs>
        <w:ind w:left="2088" w:hanging="2088"/>
      </w:pPr>
    </w:p>
    <w:p w:rsidR="00DF4CC9" w:rsidRDefault="00F43F9A">
      <w:pPr>
        <w:widowControl w:val="0"/>
      </w:pPr>
      <w:r>
        <w:rPr>
          <w:b/>
        </w:rPr>
        <w:t>VERSIONS OF THIS BILL</w:t>
      </w:r>
    </w:p>
    <w:p w:rsidR="00DF4CC9" w:rsidRDefault="00DF4CC9">
      <w:pPr>
        <w:widowControl w:val="0"/>
      </w:pPr>
    </w:p>
    <w:p w:rsidR="00DF4CC9" w:rsidRDefault="00DF1DD3">
      <w:pPr>
        <w:widowControl w:val="0"/>
      </w:pPr>
      <w:hyperlink r:id="rId8" w:history="1">
        <w:r w:rsidR="00F43F9A">
          <w:rPr>
            <w:rStyle w:val="Hyperlink"/>
          </w:rPr>
          <w:t>2/25/2009</w:t>
        </w:r>
      </w:hyperlink>
    </w:p>
    <w:p w:rsidR="00DF4CC9" w:rsidRDefault="00DF4CC9"/>
    <w:p w:rsidR="00DF4CC9" w:rsidRDefault="00DF4CC9">
      <w:pPr>
        <w:sectPr w:rsidR="00DF4CC9">
          <w:pgSz w:w="12240" w:h="15840" w:code="1"/>
          <w:pgMar w:top="1080" w:right="1440" w:bottom="1080" w:left="1440" w:header="720" w:footer="720" w:gutter="0"/>
          <w:cols w:space="720"/>
          <w:noEndnote/>
          <w:docGrid w:linePitch="360"/>
        </w:sectPr>
      </w:pPr>
    </w:p>
    <w:p w:rsidR="00DF4CC9" w:rsidRDefault="00DF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4CC9" w:rsidRDefault="00DF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4CC9" w:rsidRDefault="00DF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4CC9" w:rsidRDefault="00DF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4CC9" w:rsidRDefault="00DF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4CC9" w:rsidRDefault="00DF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4CC9" w:rsidRDefault="00DF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4CC9" w:rsidRDefault="00DF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DF4CC9" w:rsidRDefault="00DF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3" w:name="titletop"/>
      <w:bookmarkEnd w:id="3"/>
      <w:r>
        <w:rPr>
          <w:rFonts w:eastAsia="Times New Roman"/>
          <w:szCs w:val="20"/>
        </w:rPr>
        <w:t>TO AMEND THE CODE OF LAWS OF SOUTH CAROLINA, 1976, SO AS TO ENACT THE “CHILDCARE SAFETY ENHANCEMENT ACT OF 2009” BY AMENDING SECTION 63-13-180, RELATING TO THE DEPARTMENT OBTAINING THE ADVICE AND CONSENT OF THE STATE ADVISORY COMMITTEE ON THE PROMULGATION OF REGULATIONS FOR CHILDCARE FACILITIES, TO PROVIDE THAT THE DEPARTMENT SHALL ONLY OBTAIN THE ADVICE OF THE COMMITTEE ON THE PROMULGATION OF REGULATIONS; TO AMEND SECTION 63-13-1210, RELATING TO THE ESTABLISHMENT OF THE STATE ADVISORY COMMITTEE ON THE REGULATION OF CHILDCARE FACILITIES AND THE MEMBERSHIP OF THE COMMITTEE, TO INCREASE THE NUMBER OF PARENT MEMBERS ON THIS COMMITTEE BY ONE AND TO DECREASE THE NUMBER OF OWNERS AND OPERATORS OF CHILDCARE FACILITIES ON THIS COMMITTEE BY ONE; TO AMEND SECTION 63-13-1220, RELATING TO THE DUTIES OF THE STATE ADVISORY COMMITTEE ON THE REGULATION OF CHILDCARE FACILITIES, TO DELETE THE PROVISION THAT NO REGULATION MAY BE PROMULGATED IF DISAPPROVED BY THE COMMITTEE; AND TO ADD SECTION 63-13-220, TO SPECIFY THE TYPE OF VIOLATIONS SUBJECT TO FINES AND THE MAXIMUM FINE AMOUNT FOR EACH TYPE VIOLATION AND TO PROVIDE  PROCEDURES FOR NOTIFICATION OF VIOLATIONS, FOR IMPOSITION OF FINES, FOR CORRECTION OF VIOLATIONS, FOR PAYMENT OF FINES, AND FOR APPEALING FINES.</w:t>
      </w:r>
    </w:p>
    <w:p w:rsidR="00DF4CC9" w:rsidRDefault="00DF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4" w:name="titleend"/>
      <w:bookmarkEnd w:id="4"/>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enacted by the General Assembly of the State of South Carolina:</w:t>
      </w:r>
    </w:p>
    <w:p w:rsidR="00DF4CC9" w:rsidRDefault="00DF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1.</w:t>
      </w:r>
      <w:r>
        <w:rPr>
          <w:rFonts w:eastAsia="Times New Roman"/>
          <w:color w:val="000000" w:themeColor="text1"/>
          <w:szCs w:val="20"/>
          <w:u w:color="000000" w:themeColor="text1"/>
        </w:rPr>
        <w:tab/>
        <w:t>This act may be cited as the “Childcare Safety Enhancement Act of 2009”.</w:t>
      </w:r>
    </w:p>
    <w:p w:rsidR="00DF4CC9" w:rsidRDefault="00DF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2.</w:t>
      </w:r>
      <w:r>
        <w:rPr>
          <w:rFonts w:eastAsia="Times New Roman"/>
          <w:color w:val="000000" w:themeColor="text1"/>
          <w:szCs w:val="20"/>
          <w:u w:color="000000" w:themeColor="text1"/>
        </w:rPr>
        <w:tab/>
        <w:t xml:space="preserve">Section </w:t>
      </w:r>
      <w:r>
        <w:rPr>
          <w:rFonts w:eastAsia="Times New Roman"/>
          <w:szCs w:val="20"/>
        </w:rPr>
        <w:t>63-13-180</w:t>
      </w:r>
      <w:r>
        <w:rPr>
          <w:rFonts w:eastAsia="Times New Roman"/>
          <w:color w:val="000000" w:themeColor="text1"/>
          <w:szCs w:val="20"/>
          <w:u w:color="000000" w:themeColor="text1"/>
        </w:rPr>
        <w:t>(A) of the 1976 Code is amended to read:</w:t>
      </w:r>
    </w:p>
    <w:p w:rsidR="00DF4CC9" w:rsidRDefault="00DF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“(A)</w:t>
      </w:r>
      <w:r>
        <w:rPr>
          <w:rFonts w:eastAsia="Times New Roman"/>
          <w:color w:val="000000" w:themeColor="text1"/>
          <w:szCs w:val="20"/>
          <w:u w:color="000000" w:themeColor="text1"/>
        </w:rPr>
        <w:tab/>
        <w:t>The department</w:t>
      </w:r>
      <w:r>
        <w:rPr>
          <w:rFonts w:eastAsia="Times New Roman"/>
          <w:color w:val="000000" w:themeColor="text1"/>
          <w:szCs w:val="20"/>
          <w:u w:val="single" w:color="000000" w:themeColor="text1"/>
        </w:rPr>
        <w:t>,</w:t>
      </w:r>
      <w:r>
        <w:rPr>
          <w:rFonts w:eastAsia="Times New Roman"/>
          <w:color w:val="000000" w:themeColor="text1"/>
          <w:szCs w:val="20"/>
          <w:u w:color="000000" w:themeColor="text1"/>
        </w:rPr>
        <w:t xml:space="preserve"> </w:t>
      </w:r>
      <w:r>
        <w:rPr>
          <w:rFonts w:eastAsia="Times New Roman"/>
          <w:strike/>
          <w:color w:val="000000" w:themeColor="text1"/>
          <w:szCs w:val="20"/>
          <w:u w:color="000000" w:themeColor="text1"/>
        </w:rPr>
        <w:t>shall</w:t>
      </w:r>
      <w:r>
        <w:rPr>
          <w:rFonts w:eastAsia="Times New Roman"/>
          <w:color w:val="000000" w:themeColor="text1"/>
          <w:szCs w:val="20"/>
          <w:u w:color="000000" w:themeColor="text1"/>
        </w:rPr>
        <w:t xml:space="preserve"> with the advice </w:t>
      </w:r>
      <w:r>
        <w:rPr>
          <w:rFonts w:eastAsia="Times New Roman"/>
          <w:strike/>
          <w:color w:val="000000" w:themeColor="text1"/>
          <w:szCs w:val="20"/>
          <w:u w:color="000000" w:themeColor="text1"/>
        </w:rPr>
        <w:t>and consent</w:t>
      </w:r>
      <w:r>
        <w:rPr>
          <w:rFonts w:eastAsia="Times New Roman"/>
          <w:color w:val="000000" w:themeColor="text1"/>
          <w:szCs w:val="20"/>
          <w:u w:color="000000" w:themeColor="text1"/>
        </w:rPr>
        <w:t xml:space="preserve"> of the Advisory Committee</w:t>
      </w:r>
      <w:r>
        <w:rPr>
          <w:rFonts w:eastAsia="Times New Roman"/>
          <w:color w:val="000000" w:themeColor="text1"/>
          <w:szCs w:val="20"/>
          <w:u w:val="single" w:color="000000" w:themeColor="text1"/>
        </w:rPr>
        <w:t>, shall</w:t>
      </w:r>
      <w:r>
        <w:rPr>
          <w:rFonts w:eastAsia="Times New Roman"/>
          <w:color w:val="000000" w:themeColor="text1"/>
          <w:szCs w:val="20"/>
          <w:u w:color="000000" w:themeColor="text1"/>
        </w:rPr>
        <w:t xml:space="preserve"> develop and promulgate regulations depending upon the nature of services to be provided for the operation and maintenance of childcare centers and group childcare homes. The department</w:t>
      </w:r>
      <w:r>
        <w:rPr>
          <w:rFonts w:eastAsia="Times New Roman"/>
          <w:color w:val="000000" w:themeColor="text1"/>
          <w:szCs w:val="20"/>
          <w:u w:val="single" w:color="000000" w:themeColor="text1"/>
        </w:rPr>
        <w:t>,</w:t>
      </w:r>
      <w:r>
        <w:rPr>
          <w:rFonts w:eastAsia="Times New Roman"/>
          <w:color w:val="000000" w:themeColor="text1"/>
          <w:szCs w:val="20"/>
          <w:u w:color="000000" w:themeColor="text1"/>
        </w:rPr>
        <w:t xml:space="preserve"> with the advice of the Advisory Committee, shall develop suggested standards which shall serve as guidelines for the operators of family childcare homes and the parents of children who use the service. In developing these regulations and suggested standards, the department shall consult with: </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(1)</w:t>
      </w:r>
      <w:r>
        <w:rPr>
          <w:rFonts w:eastAsia="Times New Roman"/>
          <w:color w:val="000000" w:themeColor="text1"/>
          <w:szCs w:val="20"/>
          <w:u w:color="000000" w:themeColor="text1"/>
        </w:rPr>
        <w:tab/>
      </w:r>
      <w:r>
        <w:rPr>
          <w:rFonts w:eastAsia="Times New Roman"/>
          <w:strike/>
          <w:color w:val="000000" w:themeColor="text1"/>
          <w:szCs w:val="20"/>
          <w:u w:color="000000" w:themeColor="text1"/>
        </w:rPr>
        <w:t>Other</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other</w:t>
      </w:r>
      <w:r>
        <w:rPr>
          <w:rFonts w:eastAsia="Times New Roman"/>
          <w:color w:val="000000" w:themeColor="text1"/>
          <w:szCs w:val="20"/>
          <w:u w:color="000000" w:themeColor="text1"/>
        </w:rPr>
        <w:t xml:space="preserve"> state agencies, including the </w:t>
      </w:r>
      <w:r>
        <w:rPr>
          <w:rFonts w:eastAsia="Times New Roman"/>
          <w:strike/>
          <w:color w:val="000000" w:themeColor="text1"/>
          <w:szCs w:val="20"/>
          <w:u w:color="000000" w:themeColor="text1"/>
        </w:rPr>
        <w:t>State</w:t>
      </w:r>
      <w:r>
        <w:rPr>
          <w:rFonts w:eastAsia="Times New Roman"/>
          <w:color w:val="000000" w:themeColor="text1"/>
          <w:szCs w:val="20"/>
          <w:u w:color="000000" w:themeColor="text1"/>
        </w:rPr>
        <w:t xml:space="preserve"> Department of Health and Environmental Control, the Office of the State Fire Marshal, and the Office of the Attorney General</w:t>
      </w:r>
      <w:r>
        <w:rPr>
          <w:rFonts w:eastAsia="Times New Roman"/>
          <w:strike/>
          <w:color w:val="000000" w:themeColor="text1"/>
          <w:szCs w:val="20"/>
          <w:u w:color="000000" w:themeColor="text1"/>
        </w:rPr>
        <w:t>.</w:t>
      </w:r>
      <w:r>
        <w:rPr>
          <w:rFonts w:eastAsia="Times New Roman"/>
          <w:color w:val="000000" w:themeColor="text1"/>
          <w:szCs w:val="20"/>
          <w:u w:val="single" w:color="000000" w:themeColor="text1"/>
        </w:rPr>
        <w:t>;</w:t>
      </w:r>
      <w:r>
        <w:rPr>
          <w:rFonts w:eastAsia="Times New Roman"/>
          <w:color w:val="000000" w:themeColor="text1"/>
          <w:szCs w:val="20"/>
          <w:u w:color="000000" w:themeColor="text1"/>
        </w:rPr>
        <w:t xml:space="preserve"> </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r>
      <w:r>
        <w:rPr>
          <w:rFonts w:eastAsia="Times New Roman"/>
          <w:strike/>
          <w:color w:val="000000" w:themeColor="text1"/>
          <w:szCs w:val="20"/>
          <w:u w:color="000000" w:themeColor="text1"/>
        </w:rPr>
        <w:t>Parents</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parents</w:t>
      </w:r>
      <w:r>
        <w:rPr>
          <w:rFonts w:eastAsia="Times New Roman"/>
          <w:color w:val="000000" w:themeColor="text1"/>
          <w:szCs w:val="20"/>
          <w:u w:color="000000" w:themeColor="text1"/>
        </w:rPr>
        <w:t>, guardians, or custodians of children using the service</w:t>
      </w:r>
      <w:r>
        <w:rPr>
          <w:rFonts w:eastAsia="Times New Roman"/>
          <w:strike/>
          <w:color w:val="000000" w:themeColor="text1"/>
          <w:szCs w:val="20"/>
          <w:u w:color="000000" w:themeColor="text1"/>
        </w:rPr>
        <w:t>.</w:t>
      </w:r>
      <w:r>
        <w:rPr>
          <w:rFonts w:eastAsia="Times New Roman"/>
          <w:color w:val="000000" w:themeColor="text1"/>
          <w:szCs w:val="20"/>
          <w:u w:val="single" w:color="000000" w:themeColor="text1"/>
        </w:rPr>
        <w:t>;</w:t>
      </w:r>
      <w:r>
        <w:rPr>
          <w:rFonts w:eastAsia="Times New Roman"/>
          <w:color w:val="000000" w:themeColor="text1"/>
          <w:szCs w:val="20"/>
          <w:u w:color="000000" w:themeColor="text1"/>
        </w:rPr>
        <w:t xml:space="preserve"> </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(3)</w:t>
      </w:r>
      <w:r>
        <w:rPr>
          <w:rFonts w:eastAsia="Times New Roman"/>
          <w:color w:val="000000" w:themeColor="text1"/>
          <w:szCs w:val="20"/>
          <w:u w:color="000000" w:themeColor="text1"/>
        </w:rPr>
        <w:tab/>
      </w:r>
      <w:r>
        <w:rPr>
          <w:rFonts w:eastAsia="Times New Roman"/>
          <w:strike/>
          <w:color w:val="000000" w:themeColor="text1"/>
          <w:szCs w:val="20"/>
          <w:u w:color="000000" w:themeColor="text1"/>
        </w:rPr>
        <w:t>Child</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child</w:t>
      </w:r>
      <w:r>
        <w:rPr>
          <w:rFonts w:eastAsia="Times New Roman"/>
          <w:color w:val="000000" w:themeColor="text1"/>
          <w:szCs w:val="20"/>
          <w:u w:color="000000" w:themeColor="text1"/>
        </w:rPr>
        <w:t xml:space="preserve"> advocacy groups</w:t>
      </w:r>
      <w:r>
        <w:rPr>
          <w:rFonts w:eastAsia="Times New Roman"/>
          <w:strike/>
          <w:color w:val="000000" w:themeColor="text1"/>
          <w:szCs w:val="20"/>
          <w:u w:color="000000" w:themeColor="text1"/>
        </w:rPr>
        <w:t>.</w:t>
      </w:r>
      <w:r>
        <w:rPr>
          <w:rFonts w:eastAsia="Times New Roman"/>
          <w:color w:val="000000" w:themeColor="text1"/>
          <w:szCs w:val="20"/>
          <w:u w:val="single" w:color="000000" w:themeColor="text1"/>
        </w:rPr>
        <w:t>;</w:t>
      </w:r>
      <w:r>
        <w:rPr>
          <w:rFonts w:eastAsia="Times New Roman"/>
          <w:color w:val="000000" w:themeColor="text1"/>
          <w:szCs w:val="20"/>
          <w:u w:color="000000" w:themeColor="text1"/>
        </w:rPr>
        <w:t xml:space="preserve"> </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(4)</w:t>
      </w:r>
      <w:r>
        <w:rPr>
          <w:rFonts w:eastAsia="Times New Roman"/>
          <w:color w:val="000000" w:themeColor="text1"/>
          <w:szCs w:val="20"/>
          <w:u w:color="000000" w:themeColor="text1"/>
        </w:rPr>
        <w:tab/>
      </w:r>
      <w:r>
        <w:rPr>
          <w:rFonts w:eastAsia="Times New Roman"/>
          <w:strike/>
          <w:color w:val="000000" w:themeColor="text1"/>
          <w:szCs w:val="20"/>
          <w:u w:color="000000" w:themeColor="text1"/>
        </w:rPr>
        <w:t>The</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the</w:t>
      </w:r>
      <w:r>
        <w:rPr>
          <w:rFonts w:eastAsia="Times New Roman"/>
          <w:color w:val="000000" w:themeColor="text1"/>
          <w:szCs w:val="20"/>
          <w:u w:color="000000" w:themeColor="text1"/>
        </w:rPr>
        <w:t xml:space="preserve"> State Advisory Committee on the Regulation of Childcare Facilities established by this chapter</w:t>
      </w:r>
      <w:r>
        <w:rPr>
          <w:rFonts w:eastAsia="Times New Roman"/>
          <w:strike/>
          <w:color w:val="000000" w:themeColor="text1"/>
          <w:szCs w:val="20"/>
          <w:u w:color="000000" w:themeColor="text1"/>
        </w:rPr>
        <w:t>.</w:t>
      </w:r>
      <w:r>
        <w:rPr>
          <w:rFonts w:eastAsia="Times New Roman"/>
          <w:color w:val="000000" w:themeColor="text1"/>
          <w:szCs w:val="20"/>
          <w:u w:val="single" w:color="000000" w:themeColor="text1"/>
        </w:rPr>
        <w:t>;</w:t>
      </w:r>
      <w:r>
        <w:rPr>
          <w:rFonts w:eastAsia="Times New Roman"/>
          <w:color w:val="000000" w:themeColor="text1"/>
          <w:szCs w:val="20"/>
          <w:u w:color="000000" w:themeColor="text1"/>
        </w:rPr>
        <w:t xml:space="preserve"> </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(5)</w:t>
      </w:r>
      <w:r>
        <w:rPr>
          <w:rFonts w:eastAsia="Times New Roman"/>
          <w:color w:val="000000" w:themeColor="text1"/>
          <w:szCs w:val="20"/>
          <w:u w:color="000000" w:themeColor="text1"/>
        </w:rPr>
        <w:tab/>
      </w:r>
      <w:r>
        <w:rPr>
          <w:rFonts w:eastAsia="Times New Roman"/>
          <w:strike/>
          <w:color w:val="000000" w:themeColor="text1"/>
          <w:szCs w:val="20"/>
          <w:u w:color="000000" w:themeColor="text1"/>
        </w:rPr>
        <w:t>Operators</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operators</w:t>
      </w:r>
      <w:r>
        <w:rPr>
          <w:rFonts w:eastAsia="Times New Roman"/>
          <w:color w:val="000000" w:themeColor="text1"/>
          <w:szCs w:val="20"/>
          <w:u w:color="000000" w:themeColor="text1"/>
        </w:rPr>
        <w:t xml:space="preserve"> of childcare facilities from all sectors</w:t>
      </w:r>
      <w:r>
        <w:rPr>
          <w:rFonts w:eastAsia="Times New Roman"/>
          <w:strike/>
          <w:color w:val="000000" w:themeColor="text1"/>
          <w:szCs w:val="20"/>
          <w:u w:color="000000" w:themeColor="text1"/>
        </w:rPr>
        <w:t>.</w:t>
      </w:r>
      <w:r>
        <w:rPr>
          <w:rFonts w:eastAsia="Times New Roman"/>
          <w:color w:val="000000" w:themeColor="text1"/>
          <w:szCs w:val="20"/>
          <w:u w:val="single" w:color="000000" w:themeColor="text1"/>
        </w:rPr>
        <w:t>;</w:t>
      </w:r>
      <w:r>
        <w:rPr>
          <w:rFonts w:eastAsia="Times New Roman"/>
          <w:color w:val="000000" w:themeColor="text1"/>
          <w:szCs w:val="20"/>
          <w:u w:color="000000" w:themeColor="text1"/>
        </w:rPr>
        <w:t xml:space="preserve"> </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(6)</w:t>
      </w:r>
      <w:r>
        <w:rPr>
          <w:rFonts w:eastAsia="Times New Roman"/>
          <w:color w:val="000000" w:themeColor="text1"/>
          <w:szCs w:val="20"/>
          <w:u w:color="000000" w:themeColor="text1"/>
        </w:rPr>
        <w:tab/>
      </w:r>
      <w:r>
        <w:rPr>
          <w:rFonts w:eastAsia="Times New Roman"/>
          <w:strike/>
          <w:color w:val="000000" w:themeColor="text1"/>
          <w:szCs w:val="20"/>
          <w:u w:color="000000" w:themeColor="text1"/>
        </w:rPr>
        <w:t>Professionals</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professionals</w:t>
      </w:r>
      <w:r>
        <w:rPr>
          <w:rFonts w:eastAsia="Times New Roman"/>
          <w:color w:val="000000" w:themeColor="text1"/>
          <w:szCs w:val="20"/>
          <w:u w:color="000000" w:themeColor="text1"/>
        </w:rPr>
        <w:t xml:space="preserve"> in fields relevant to childcare and development</w:t>
      </w:r>
      <w:r>
        <w:rPr>
          <w:rFonts w:eastAsia="Times New Roman"/>
          <w:strike/>
          <w:color w:val="000000" w:themeColor="text1"/>
          <w:szCs w:val="20"/>
          <w:u w:color="000000" w:themeColor="text1"/>
        </w:rPr>
        <w:t>.</w:t>
      </w:r>
      <w:r>
        <w:rPr>
          <w:rFonts w:eastAsia="Times New Roman"/>
          <w:color w:val="000000" w:themeColor="text1"/>
          <w:szCs w:val="20"/>
          <w:u w:val="single" w:color="000000" w:themeColor="text1"/>
        </w:rPr>
        <w:t>; and</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(7)</w:t>
      </w:r>
      <w:r>
        <w:rPr>
          <w:rFonts w:eastAsia="Times New Roman"/>
          <w:color w:val="000000" w:themeColor="text1"/>
          <w:szCs w:val="20"/>
          <w:u w:color="000000" w:themeColor="text1"/>
        </w:rPr>
        <w:tab/>
      </w:r>
      <w:r>
        <w:rPr>
          <w:rFonts w:eastAsia="Times New Roman"/>
          <w:strike/>
          <w:color w:val="000000" w:themeColor="text1"/>
          <w:szCs w:val="20"/>
          <w:u w:color="000000" w:themeColor="text1"/>
        </w:rPr>
        <w:t>Employers</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employers</w:t>
      </w:r>
      <w:r>
        <w:rPr>
          <w:rFonts w:eastAsia="Times New Roman"/>
          <w:color w:val="000000" w:themeColor="text1"/>
          <w:szCs w:val="20"/>
          <w:u w:color="000000" w:themeColor="text1"/>
        </w:rPr>
        <w:t xml:space="preserve"> of parents, guardians, or custodians of children using the service. </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Draft formulations must be widely circulated for criticism and comment.”</w:t>
      </w:r>
    </w:p>
    <w:p w:rsidR="00DF4CC9" w:rsidRDefault="00DF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3.</w:t>
      </w:r>
      <w:r>
        <w:rPr>
          <w:rFonts w:eastAsia="Times New Roman"/>
          <w:color w:val="000000" w:themeColor="text1"/>
          <w:szCs w:val="20"/>
          <w:u w:color="000000" w:themeColor="text1"/>
        </w:rPr>
        <w:tab/>
        <w:t>Section 63-13-1210 of the 1976 Code is amended to read:</w:t>
      </w:r>
    </w:p>
    <w:p w:rsidR="00DF4CC9" w:rsidRDefault="00DF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“Section 63-13-1210.(A)</w:t>
      </w:r>
      <w:r>
        <w:rPr>
          <w:rFonts w:eastAsia="Times New Roman"/>
          <w:color w:val="000000" w:themeColor="text1"/>
          <w:szCs w:val="20"/>
          <w:u w:color="000000" w:themeColor="text1"/>
        </w:rPr>
        <w:tab/>
        <w:t xml:space="preserve">A State Advisory Committee on the Regulation of Childcare Facilities is established. It consists of seventeen members appointed by the Governor, in accordance with the following: </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(1)</w:t>
      </w:r>
      <w:r>
        <w:rPr>
          <w:rFonts w:eastAsia="Times New Roman"/>
          <w:color w:val="000000" w:themeColor="text1"/>
          <w:szCs w:val="20"/>
          <w:u w:color="000000" w:themeColor="text1"/>
        </w:rPr>
        <w:tab/>
      </w:r>
      <w:r>
        <w:rPr>
          <w:rFonts w:eastAsia="Times New Roman"/>
          <w:strike/>
          <w:color w:val="000000" w:themeColor="text1"/>
          <w:szCs w:val="20"/>
          <w:u w:color="000000" w:themeColor="text1"/>
        </w:rPr>
        <w:t>Five</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Six</w:t>
      </w:r>
      <w:r>
        <w:rPr>
          <w:rFonts w:eastAsia="Times New Roman"/>
          <w:color w:val="000000" w:themeColor="text1"/>
          <w:szCs w:val="20"/>
          <w:u w:color="000000" w:themeColor="text1"/>
        </w:rPr>
        <w:t xml:space="preserve"> of the members appointed must be parents of children who are receiving childcare services at the time of appointment, with no </w:t>
      </w:r>
      <w:r>
        <w:rPr>
          <w:rFonts w:eastAsia="Times New Roman"/>
          <w:strike/>
          <w:color w:val="000000" w:themeColor="text1"/>
          <w:szCs w:val="20"/>
          <w:u w:color="000000" w:themeColor="text1"/>
        </w:rPr>
        <w:t>less</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fewer</w:t>
      </w:r>
      <w:r>
        <w:rPr>
          <w:rFonts w:eastAsia="Times New Roman"/>
          <w:color w:val="000000" w:themeColor="text1"/>
          <w:szCs w:val="20"/>
          <w:u w:color="000000" w:themeColor="text1"/>
        </w:rPr>
        <w:t xml:space="preserve"> than three representing the entrepreneurial facilities. </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r>
      <w:r>
        <w:rPr>
          <w:rFonts w:eastAsia="Times New Roman"/>
          <w:strike/>
          <w:color w:val="000000" w:themeColor="text1"/>
          <w:szCs w:val="20"/>
          <w:u w:color="000000" w:themeColor="text1"/>
        </w:rPr>
        <w:t>Eight</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Seven</w:t>
      </w:r>
      <w:r>
        <w:rPr>
          <w:rFonts w:eastAsia="Times New Roman"/>
          <w:color w:val="000000" w:themeColor="text1"/>
          <w:szCs w:val="20"/>
          <w:u w:color="000000" w:themeColor="text1"/>
        </w:rPr>
        <w:t xml:space="preserve"> of the members appointed must be representative of owners and operators of childcare facilities, one of which must be an operator of a childcare home.  No </w:t>
      </w:r>
      <w:r>
        <w:rPr>
          <w:rFonts w:eastAsia="Times New Roman"/>
          <w:strike/>
          <w:color w:val="000000" w:themeColor="text1"/>
          <w:szCs w:val="20"/>
          <w:u w:color="000000" w:themeColor="text1"/>
        </w:rPr>
        <w:t>less</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fewer</w:t>
      </w:r>
      <w:r>
        <w:rPr>
          <w:rFonts w:eastAsia="Times New Roman"/>
          <w:color w:val="000000" w:themeColor="text1"/>
          <w:szCs w:val="20"/>
          <w:u w:color="000000" w:themeColor="text1"/>
        </w:rPr>
        <w:t xml:space="preserve"> than five </w:t>
      </w:r>
      <w:r>
        <w:rPr>
          <w:rFonts w:eastAsia="Times New Roman"/>
          <w:strike/>
          <w:color w:val="000000" w:themeColor="text1"/>
          <w:szCs w:val="20"/>
          <w:u w:color="000000" w:themeColor="text1"/>
        </w:rPr>
        <w:t>other</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of the seven</w:t>
      </w:r>
      <w:r>
        <w:rPr>
          <w:rFonts w:eastAsia="Times New Roman"/>
          <w:color w:val="000000" w:themeColor="text1"/>
          <w:szCs w:val="20"/>
          <w:u w:color="000000" w:themeColor="text1"/>
        </w:rPr>
        <w:t xml:space="preserve"> appointees must be operators of facilities subject to regulation who are actively engaged in the operation for profit. </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(3)</w:t>
      </w:r>
      <w:r>
        <w:rPr>
          <w:rFonts w:eastAsia="Times New Roman"/>
          <w:color w:val="000000" w:themeColor="text1"/>
          <w:szCs w:val="20"/>
          <w:u w:color="000000" w:themeColor="text1"/>
        </w:rPr>
        <w:tab/>
        <w:t xml:space="preserve">One member appointed shall represent the educational community of the State. </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 xml:space="preserve">Nominees for membership on the advisory committee pursuant to items (1), (2), and (3) must be made from lists furnished the Governor by South Carolina organizations representing the various types of childcare facilities defined in this chapter. </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(4)</w:t>
      </w:r>
      <w:r>
        <w:rPr>
          <w:rFonts w:eastAsia="Times New Roman"/>
          <w:color w:val="000000" w:themeColor="text1"/>
          <w:szCs w:val="20"/>
          <w:u w:color="000000" w:themeColor="text1"/>
        </w:rPr>
        <w:tab/>
        <w:t xml:space="preserve">One member appointed shall represent the business community of the State. Nominees for membership pursuant to this item must be made from lists furnished the Governor by the South Carolina Chamber of Commerce. </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(5)</w:t>
      </w:r>
      <w:r>
        <w:rPr>
          <w:rFonts w:eastAsia="Times New Roman"/>
          <w:color w:val="000000" w:themeColor="text1"/>
          <w:szCs w:val="20"/>
          <w:u w:color="000000" w:themeColor="text1"/>
        </w:rPr>
        <w:tab/>
        <w:t>Two members appointed shall represent church</w:t>
      </w:r>
      <w:r>
        <w:rPr>
          <w:rFonts w:eastAsia="Times New Roman"/>
          <w:color w:val="000000" w:themeColor="text1"/>
          <w:szCs w:val="20"/>
          <w:u w:color="000000" w:themeColor="text1"/>
        </w:rPr>
        <w:noBreakHyphen/>
        <w:t>operated childcare centers, one of whom must be an operator of a church childcare center and one of whom must be a parent of a child who is receiving childcare services in a church</w:t>
      </w:r>
      <w:r>
        <w:rPr>
          <w:rFonts w:eastAsia="Times New Roman"/>
          <w:color w:val="000000" w:themeColor="text1"/>
          <w:szCs w:val="20"/>
          <w:u w:color="000000" w:themeColor="text1"/>
        </w:rPr>
        <w:noBreakHyphen/>
        <w:t xml:space="preserve">operated childcare center at the time of appointment. </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strike/>
          <w:color w:val="000000" w:themeColor="text1"/>
          <w:szCs w:val="20"/>
          <w:u w:color="000000" w:themeColor="text1"/>
        </w:rPr>
        <w:t>b.</w:t>
      </w:r>
      <w:r>
        <w:rPr>
          <w:rFonts w:eastAsia="Times New Roman"/>
          <w:color w:val="000000" w:themeColor="text1"/>
          <w:szCs w:val="20"/>
          <w:u w:val="single" w:color="000000" w:themeColor="text1"/>
        </w:rPr>
        <w:t>(B)</w:t>
      </w:r>
      <w:r>
        <w:rPr>
          <w:rFonts w:eastAsia="Times New Roman"/>
          <w:color w:val="000000" w:themeColor="text1"/>
          <w:szCs w:val="20"/>
          <w:u w:color="000000" w:themeColor="text1"/>
        </w:rPr>
        <w:tab/>
        <w:t>Members shall serve for terms of three years and until their successors are appointed and qualify</w:t>
      </w:r>
      <w:r>
        <w:rPr>
          <w:rFonts w:eastAsia="Times New Roman"/>
          <w:strike/>
          <w:color w:val="000000" w:themeColor="text1"/>
          <w:szCs w:val="20"/>
          <w:u w:color="000000" w:themeColor="text1"/>
        </w:rPr>
        <w:t>, except that of those initially appointed five shall serve for one year, five for two years, and five for three years</w:t>
      </w:r>
      <w:r>
        <w:rPr>
          <w:rFonts w:eastAsia="Times New Roman"/>
          <w:color w:val="000000" w:themeColor="text1"/>
          <w:szCs w:val="20"/>
          <w:u w:color="000000" w:themeColor="text1"/>
        </w:rPr>
        <w:t>.  Vacancies must be filled in the manner of the original appointment for the unexpired portion of the term only.  Reappointment to serve a full term may ensue at the discretion of the Governor</w:t>
      </w:r>
      <w:r>
        <w:rPr>
          <w:rFonts w:eastAsia="Times New Roman"/>
          <w:strike/>
          <w:color w:val="000000" w:themeColor="text1"/>
          <w:szCs w:val="20"/>
          <w:u w:color="000000" w:themeColor="text1"/>
        </w:rPr>
        <w:t>,</w:t>
      </w:r>
      <w:r>
        <w:rPr>
          <w:rFonts w:eastAsia="Times New Roman"/>
          <w:color w:val="000000" w:themeColor="text1"/>
          <w:szCs w:val="20"/>
          <w:u w:val="single" w:color="000000" w:themeColor="text1"/>
        </w:rPr>
        <w:t>;</w:t>
      </w:r>
      <w:r>
        <w:rPr>
          <w:rFonts w:eastAsia="Times New Roman"/>
          <w:color w:val="000000" w:themeColor="text1"/>
          <w:szCs w:val="20"/>
          <w:u w:color="000000" w:themeColor="text1"/>
        </w:rPr>
        <w:t xml:space="preserve"> however, no member may be permitted to succeed himself after serving a full term. </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strike/>
          <w:color w:val="000000" w:themeColor="text1"/>
          <w:szCs w:val="20"/>
          <w:u w:color="000000" w:themeColor="text1"/>
        </w:rPr>
        <w:t>c.</w:t>
      </w:r>
      <w:r>
        <w:rPr>
          <w:rFonts w:eastAsia="Times New Roman"/>
          <w:color w:val="000000" w:themeColor="text1"/>
          <w:szCs w:val="20"/>
          <w:u w:val="single" w:color="000000" w:themeColor="text1"/>
        </w:rPr>
        <w:t>(C)</w:t>
      </w:r>
      <w:r>
        <w:rPr>
          <w:rFonts w:eastAsia="Times New Roman"/>
          <w:color w:val="000000" w:themeColor="text1"/>
          <w:szCs w:val="20"/>
          <w:u w:color="000000" w:themeColor="text1"/>
        </w:rPr>
        <w:tab/>
        <w:t xml:space="preserve">The chairman of the committee must be designated by the Governor from among the </w:t>
      </w:r>
      <w:r>
        <w:rPr>
          <w:rFonts w:eastAsia="Times New Roman"/>
          <w:strike/>
          <w:color w:val="000000" w:themeColor="text1"/>
          <w:szCs w:val="20"/>
          <w:u w:color="000000" w:themeColor="text1"/>
        </w:rPr>
        <w:t>appointees selected pursuant to the provisions of items (1) and (2) of subsection a. of this section</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members of the committee</w:t>
      </w:r>
      <w:r>
        <w:rPr>
          <w:rFonts w:eastAsia="Times New Roman"/>
          <w:color w:val="000000" w:themeColor="text1"/>
          <w:szCs w:val="20"/>
          <w:u w:color="000000" w:themeColor="text1"/>
        </w:rPr>
        <w:t>.”</w:t>
      </w:r>
    </w:p>
    <w:p w:rsidR="00DF4CC9" w:rsidRDefault="00DF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4.</w:t>
      </w:r>
      <w:r>
        <w:rPr>
          <w:rFonts w:eastAsia="Times New Roman"/>
          <w:color w:val="000000" w:themeColor="text1"/>
          <w:szCs w:val="20"/>
          <w:u w:color="000000" w:themeColor="text1"/>
        </w:rPr>
        <w:tab/>
        <w:t>Section 63-13-1220 of the 1976 Code is amended to read:</w:t>
      </w:r>
    </w:p>
    <w:p w:rsidR="00DF4CC9" w:rsidRDefault="00DF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“Section 63-13-1220.</w:t>
      </w:r>
      <w:r>
        <w:rPr>
          <w:rFonts w:eastAsia="Times New Roman"/>
          <w:color w:val="000000" w:themeColor="text1"/>
          <w:szCs w:val="20"/>
          <w:u w:color="000000" w:themeColor="text1"/>
        </w:rPr>
        <w:tab/>
        <w:t xml:space="preserve">The State Advisory Committee on the Regulation of Childcare Facilities shall: </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Pr>
          <w:rFonts w:eastAsia="Times New Roman"/>
          <w:color w:val="000000" w:themeColor="text1"/>
          <w:szCs w:val="20"/>
          <w:u w:color="000000" w:themeColor="text1"/>
        </w:rPr>
        <w:tab/>
        <w:t>(1)</w:t>
      </w:r>
      <w:r>
        <w:rPr>
          <w:rFonts w:eastAsia="Times New Roman"/>
          <w:color w:val="000000" w:themeColor="text1"/>
          <w:szCs w:val="20"/>
          <w:u w:color="000000" w:themeColor="text1"/>
        </w:rPr>
        <w:tab/>
      </w:r>
      <w:r>
        <w:rPr>
          <w:rFonts w:eastAsia="Times New Roman"/>
          <w:strike/>
          <w:color w:val="000000" w:themeColor="text1"/>
          <w:szCs w:val="20"/>
          <w:u w:color="000000" w:themeColor="text1"/>
        </w:rPr>
        <w:t>Review</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review</w:t>
      </w:r>
      <w:r>
        <w:rPr>
          <w:rFonts w:eastAsia="Times New Roman"/>
          <w:color w:val="000000" w:themeColor="text1"/>
          <w:szCs w:val="20"/>
          <w:u w:color="000000" w:themeColor="text1"/>
        </w:rPr>
        <w:t xml:space="preserve"> changes in the regulations and suggested standards proposed by the director or his designee and make recommendations on these changes to the director or his designee. The committee shall </w:t>
      </w:r>
      <w:r>
        <w:rPr>
          <w:rFonts w:eastAsia="Times New Roman"/>
          <w:strike/>
          <w:color w:val="000000" w:themeColor="text1"/>
          <w:szCs w:val="20"/>
          <w:u w:color="000000" w:themeColor="text1"/>
        </w:rPr>
        <w:t>evaluate</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review</w:t>
      </w:r>
      <w:r>
        <w:rPr>
          <w:rFonts w:eastAsia="Times New Roman"/>
          <w:color w:val="000000" w:themeColor="text1"/>
          <w:szCs w:val="20"/>
          <w:u w:color="000000" w:themeColor="text1"/>
        </w:rPr>
        <w:t xml:space="preserve"> the regulations and suggested standards at the three</w:t>
      </w:r>
      <w:r>
        <w:rPr>
          <w:rFonts w:eastAsia="Times New Roman"/>
          <w:color w:val="000000" w:themeColor="text1"/>
          <w:szCs w:val="20"/>
          <w:u w:color="000000" w:themeColor="text1"/>
        </w:rPr>
        <w:noBreakHyphen/>
        <w:t xml:space="preserve">year review period </w:t>
      </w:r>
      <w:r>
        <w:rPr>
          <w:rFonts w:eastAsia="Times New Roman"/>
          <w:strike/>
          <w:color w:val="000000" w:themeColor="text1"/>
          <w:szCs w:val="20"/>
          <w:u w:color="000000" w:themeColor="text1"/>
        </w:rPr>
        <w:t>(</w:t>
      </w:r>
      <w:r>
        <w:rPr>
          <w:rFonts w:eastAsia="Times New Roman"/>
          <w:color w:val="000000" w:themeColor="text1"/>
          <w:szCs w:val="20"/>
          <w:u w:val="single" w:color="000000" w:themeColor="text1"/>
        </w:rPr>
        <w:t xml:space="preserve">, as provided for in </w:t>
      </w:r>
      <w:r>
        <w:rPr>
          <w:rFonts w:eastAsia="Times New Roman"/>
          <w:color w:val="000000" w:themeColor="text1"/>
          <w:szCs w:val="20"/>
          <w:u w:color="000000" w:themeColor="text1"/>
        </w:rPr>
        <w:t>subsection (C) of Section 63-13-180</w:t>
      </w:r>
      <w:r>
        <w:rPr>
          <w:rFonts w:eastAsia="Times New Roman"/>
          <w:strike/>
          <w:color w:val="000000" w:themeColor="text1"/>
          <w:szCs w:val="20"/>
          <w:u w:color="000000" w:themeColor="text1"/>
        </w:rPr>
        <w:t>)</w:t>
      </w:r>
      <w:r>
        <w:rPr>
          <w:rFonts w:eastAsia="Times New Roman"/>
          <w:color w:val="000000" w:themeColor="text1"/>
          <w:szCs w:val="20"/>
          <w:u w:val="single" w:color="000000" w:themeColor="text1"/>
        </w:rPr>
        <w:t>,</w:t>
      </w:r>
      <w:r>
        <w:rPr>
          <w:rFonts w:eastAsia="Times New Roman"/>
          <w:color w:val="000000" w:themeColor="text1"/>
          <w:szCs w:val="20"/>
          <w:u w:color="000000" w:themeColor="text1"/>
        </w:rPr>
        <w:t xml:space="preserve"> and recommend </w:t>
      </w:r>
      <w:r>
        <w:rPr>
          <w:rFonts w:eastAsia="Times New Roman"/>
          <w:strike/>
          <w:color w:val="000000" w:themeColor="text1"/>
          <w:szCs w:val="20"/>
          <w:u w:color="000000" w:themeColor="text1"/>
        </w:rPr>
        <w:t>necessary</w:t>
      </w:r>
      <w:r>
        <w:rPr>
          <w:rFonts w:eastAsia="Times New Roman"/>
          <w:color w:val="000000" w:themeColor="text1"/>
          <w:szCs w:val="20"/>
          <w:u w:color="000000" w:themeColor="text1"/>
        </w:rPr>
        <w:t xml:space="preserve"> changes</w:t>
      </w:r>
      <w:r>
        <w:rPr>
          <w:rFonts w:eastAsia="Times New Roman"/>
          <w:strike/>
          <w:color w:val="000000" w:themeColor="text1"/>
          <w:szCs w:val="20"/>
          <w:u w:color="000000" w:themeColor="text1"/>
        </w:rPr>
        <w:t>. No regulation may be promulgated if the standard has been disapproved by a simple majority of the committee.</w:t>
      </w:r>
      <w:r>
        <w:rPr>
          <w:rFonts w:eastAsia="Times New Roman"/>
          <w:color w:val="000000" w:themeColor="text1"/>
          <w:szCs w:val="20"/>
          <w:u w:val="single" w:color="000000" w:themeColor="text1"/>
        </w:rPr>
        <w:t>;</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(2)</w:t>
      </w:r>
      <w:r>
        <w:rPr>
          <w:rFonts w:eastAsia="Times New Roman"/>
          <w:color w:val="000000" w:themeColor="text1"/>
          <w:szCs w:val="20"/>
          <w:u w:color="000000" w:themeColor="text1"/>
        </w:rPr>
        <w:tab/>
      </w:r>
      <w:r>
        <w:rPr>
          <w:rFonts w:eastAsia="Times New Roman"/>
          <w:strike/>
          <w:color w:val="000000" w:themeColor="text1"/>
          <w:szCs w:val="20"/>
          <w:u w:color="000000" w:themeColor="text1"/>
        </w:rPr>
        <w:t>Advise</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advise</w:t>
      </w:r>
      <w:r>
        <w:rPr>
          <w:rFonts w:eastAsia="Times New Roman"/>
          <w:color w:val="000000" w:themeColor="text1"/>
          <w:szCs w:val="20"/>
          <w:u w:color="000000" w:themeColor="text1"/>
        </w:rPr>
        <w:t xml:space="preserve"> the department regarding the improvement of the regulation of childcare facilities</w:t>
      </w:r>
      <w:r>
        <w:rPr>
          <w:rFonts w:eastAsia="Times New Roman"/>
          <w:strike/>
          <w:color w:val="000000" w:themeColor="text1"/>
          <w:szCs w:val="20"/>
          <w:u w:color="000000" w:themeColor="text1"/>
        </w:rPr>
        <w:t>.</w:t>
      </w:r>
      <w:r>
        <w:rPr>
          <w:rFonts w:eastAsia="Times New Roman"/>
          <w:color w:val="000000" w:themeColor="text1"/>
          <w:szCs w:val="20"/>
          <w:u w:val="single" w:color="000000" w:themeColor="text1"/>
        </w:rPr>
        <w:t>;</w:t>
      </w:r>
      <w:r>
        <w:rPr>
          <w:rFonts w:eastAsia="Times New Roman"/>
          <w:color w:val="000000" w:themeColor="text1"/>
          <w:szCs w:val="20"/>
          <w:u w:color="000000" w:themeColor="text1"/>
        </w:rPr>
        <w:t xml:space="preserve"> </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(3)</w:t>
      </w:r>
      <w:r>
        <w:rPr>
          <w:rFonts w:eastAsia="Times New Roman"/>
          <w:color w:val="000000" w:themeColor="text1"/>
          <w:szCs w:val="20"/>
          <w:u w:color="000000" w:themeColor="text1"/>
        </w:rPr>
        <w:tab/>
      </w:r>
      <w:r>
        <w:rPr>
          <w:rFonts w:eastAsia="Times New Roman"/>
          <w:strike/>
          <w:color w:val="000000" w:themeColor="text1"/>
          <w:szCs w:val="20"/>
          <w:u w:color="000000" w:themeColor="text1"/>
        </w:rPr>
        <w:t>Advise</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advise</w:t>
      </w:r>
      <w:r>
        <w:rPr>
          <w:rFonts w:eastAsia="Times New Roman"/>
          <w:color w:val="000000" w:themeColor="text1"/>
          <w:szCs w:val="20"/>
          <w:u w:color="000000" w:themeColor="text1"/>
        </w:rPr>
        <w:t xml:space="preserve"> the department on matters of regulatory policy, planning, and priorities</w:t>
      </w:r>
      <w:r>
        <w:rPr>
          <w:rFonts w:eastAsia="Times New Roman"/>
          <w:strike/>
          <w:color w:val="000000" w:themeColor="text1"/>
          <w:szCs w:val="20"/>
          <w:u w:color="000000" w:themeColor="text1"/>
        </w:rPr>
        <w:t>.</w:t>
      </w:r>
      <w:r>
        <w:rPr>
          <w:rFonts w:eastAsia="Times New Roman"/>
          <w:color w:val="000000" w:themeColor="text1"/>
          <w:szCs w:val="20"/>
          <w:u w:val="single" w:color="000000" w:themeColor="text1"/>
        </w:rPr>
        <w:t>;</w:t>
      </w:r>
      <w:r>
        <w:rPr>
          <w:rFonts w:eastAsia="Times New Roman"/>
          <w:color w:val="000000" w:themeColor="text1"/>
          <w:szCs w:val="20"/>
          <w:u w:color="000000" w:themeColor="text1"/>
        </w:rPr>
        <w:t xml:space="preserve"> </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(4)</w:t>
      </w:r>
      <w:r>
        <w:rPr>
          <w:rFonts w:eastAsia="Times New Roman"/>
          <w:color w:val="000000" w:themeColor="text1"/>
          <w:szCs w:val="20"/>
          <w:u w:color="000000" w:themeColor="text1"/>
        </w:rPr>
        <w:tab/>
      </w:r>
      <w:r>
        <w:rPr>
          <w:rFonts w:eastAsia="Times New Roman"/>
          <w:strike/>
          <w:color w:val="000000" w:themeColor="text1"/>
          <w:szCs w:val="20"/>
          <w:u w:color="000000" w:themeColor="text1"/>
        </w:rPr>
        <w:t>As</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as</w:t>
      </w:r>
      <w:r>
        <w:rPr>
          <w:rFonts w:eastAsia="Times New Roman"/>
          <w:color w:val="000000" w:themeColor="text1"/>
          <w:szCs w:val="20"/>
          <w:u w:color="000000" w:themeColor="text1"/>
        </w:rPr>
        <w:t xml:space="preserve"> it considers necessary, hold </w:t>
      </w:r>
      <w:r>
        <w:rPr>
          <w:rFonts w:eastAsia="Times New Roman"/>
          <w:strike/>
          <w:color w:val="000000" w:themeColor="text1"/>
          <w:szCs w:val="20"/>
          <w:u w:color="000000" w:themeColor="text1"/>
        </w:rPr>
        <w:t>a</w:t>
      </w:r>
      <w:r>
        <w:rPr>
          <w:rFonts w:eastAsia="Times New Roman"/>
          <w:color w:val="000000" w:themeColor="text1"/>
          <w:szCs w:val="20"/>
          <w:u w:color="000000" w:themeColor="text1"/>
        </w:rPr>
        <w:t xml:space="preserve"> public </w:t>
      </w:r>
      <w:r>
        <w:rPr>
          <w:rFonts w:eastAsia="Times New Roman"/>
          <w:strike/>
          <w:color w:val="000000" w:themeColor="text1"/>
          <w:szCs w:val="20"/>
          <w:u w:color="000000" w:themeColor="text1"/>
        </w:rPr>
        <w:t>hearing</w:t>
      </w:r>
      <w:r>
        <w:rPr>
          <w:rFonts w:eastAsia="Times New Roman"/>
          <w:color w:val="000000" w:themeColor="text1"/>
          <w:szCs w:val="20"/>
          <w:u w:color="000000" w:themeColor="text1"/>
        </w:rPr>
        <w:t xml:space="preserve"> </w:t>
      </w:r>
      <w:r>
        <w:rPr>
          <w:rFonts w:eastAsia="Times New Roman"/>
          <w:strike/>
          <w:color w:val="000000" w:themeColor="text1"/>
          <w:szCs w:val="20"/>
          <w:u w:color="000000" w:themeColor="text1"/>
        </w:rPr>
        <w:t>at least thirty days before adoption of the regulations.</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hearings;</w:t>
      </w:r>
      <w:r>
        <w:rPr>
          <w:rFonts w:eastAsia="Times New Roman"/>
          <w:color w:val="000000" w:themeColor="text1"/>
          <w:szCs w:val="20"/>
          <w:u w:color="000000" w:themeColor="text1"/>
        </w:rPr>
        <w:t xml:space="preserve"> </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(5)</w:t>
      </w:r>
      <w:r>
        <w:rPr>
          <w:rFonts w:eastAsia="Times New Roman"/>
          <w:color w:val="000000" w:themeColor="text1"/>
          <w:szCs w:val="20"/>
          <w:u w:color="000000" w:themeColor="text1"/>
        </w:rPr>
        <w:tab/>
      </w:r>
      <w:r>
        <w:rPr>
          <w:rFonts w:eastAsia="Times New Roman"/>
          <w:strike/>
          <w:color w:val="000000" w:themeColor="text1"/>
          <w:szCs w:val="20"/>
          <w:u w:color="000000" w:themeColor="text1"/>
        </w:rPr>
        <w:t>Plan</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consult</w:t>
      </w:r>
      <w:r>
        <w:rPr>
          <w:rFonts w:eastAsia="Times New Roman"/>
          <w:color w:val="000000" w:themeColor="text1"/>
          <w:szCs w:val="20"/>
          <w:u w:color="000000" w:themeColor="text1"/>
        </w:rPr>
        <w:t xml:space="preserve"> with the department </w:t>
      </w:r>
      <w:r>
        <w:rPr>
          <w:rFonts w:eastAsia="Times New Roman"/>
          <w:strike/>
          <w:color w:val="000000" w:themeColor="text1"/>
          <w:szCs w:val="20"/>
          <w:u w:color="000000" w:themeColor="text1"/>
        </w:rPr>
        <w:t>for</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regarding</w:t>
      </w:r>
      <w:r>
        <w:rPr>
          <w:rFonts w:eastAsia="Times New Roman"/>
          <w:color w:val="000000" w:themeColor="text1"/>
          <w:szCs w:val="20"/>
          <w:u w:color="000000" w:themeColor="text1"/>
        </w:rPr>
        <w:t xml:space="preserve"> the procedures to be used in notifying licensees, approved operators, and registrants regarding regulatory changes sixty days before intended promulgation</w:t>
      </w:r>
      <w:r>
        <w:rPr>
          <w:rFonts w:eastAsia="Times New Roman"/>
          <w:strike/>
          <w:color w:val="000000" w:themeColor="text1"/>
          <w:szCs w:val="20"/>
          <w:u w:color="000000" w:themeColor="text1"/>
        </w:rPr>
        <w:t>.</w:t>
      </w:r>
      <w:r>
        <w:rPr>
          <w:rFonts w:eastAsia="Times New Roman"/>
          <w:color w:val="000000" w:themeColor="text1"/>
          <w:szCs w:val="20"/>
          <w:u w:val="single" w:color="000000" w:themeColor="text1"/>
        </w:rPr>
        <w:t>;</w:t>
      </w:r>
      <w:r>
        <w:rPr>
          <w:rFonts w:eastAsia="Times New Roman"/>
          <w:color w:val="000000" w:themeColor="text1"/>
          <w:szCs w:val="20"/>
          <w:u w:color="000000" w:themeColor="text1"/>
        </w:rPr>
        <w:t xml:space="preserve"> </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 xml:space="preserve">(6) </w:t>
      </w:r>
      <w:r>
        <w:rPr>
          <w:rFonts w:eastAsia="Times New Roman"/>
          <w:color w:val="000000" w:themeColor="text1"/>
          <w:szCs w:val="20"/>
          <w:u w:color="000000" w:themeColor="text1"/>
        </w:rPr>
        <w:tab/>
      </w:r>
      <w:r>
        <w:rPr>
          <w:rFonts w:eastAsia="Times New Roman"/>
          <w:strike/>
          <w:color w:val="000000" w:themeColor="text1"/>
          <w:szCs w:val="20"/>
          <w:u w:color="000000" w:themeColor="text1"/>
        </w:rPr>
        <w:t>Maintain</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maintain</w:t>
      </w:r>
      <w:r>
        <w:rPr>
          <w:rFonts w:eastAsia="Times New Roman"/>
          <w:color w:val="000000" w:themeColor="text1"/>
          <w:szCs w:val="20"/>
          <w:u w:color="000000" w:themeColor="text1"/>
        </w:rPr>
        <w:t xml:space="preserve"> through the department the essential liaison with other departments and agencies of state and local government so as to preclude imposition of duplicate requirements upon operators subject to regulations under this chapter</w:t>
      </w:r>
      <w:r>
        <w:rPr>
          <w:rFonts w:eastAsia="Times New Roman"/>
          <w:strike/>
          <w:color w:val="000000" w:themeColor="text1"/>
          <w:szCs w:val="20"/>
          <w:u w:color="000000" w:themeColor="text1"/>
        </w:rPr>
        <w:t>.</w:t>
      </w:r>
      <w:r>
        <w:rPr>
          <w:rFonts w:eastAsia="Times New Roman"/>
          <w:color w:val="000000" w:themeColor="text1"/>
          <w:szCs w:val="20"/>
          <w:u w:val="single" w:color="000000" w:themeColor="text1"/>
        </w:rPr>
        <w:t>;</w:t>
      </w:r>
      <w:r>
        <w:rPr>
          <w:rFonts w:eastAsia="Times New Roman"/>
          <w:color w:val="000000" w:themeColor="text1"/>
          <w:szCs w:val="20"/>
          <w:u w:color="000000" w:themeColor="text1"/>
        </w:rPr>
        <w:t xml:space="preserve"> </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(7)</w:t>
      </w:r>
      <w:r>
        <w:rPr>
          <w:rFonts w:eastAsia="Times New Roman"/>
          <w:color w:val="000000" w:themeColor="text1"/>
          <w:szCs w:val="20"/>
          <w:u w:color="000000" w:themeColor="text1"/>
        </w:rPr>
        <w:tab/>
      </w:r>
      <w:r>
        <w:rPr>
          <w:rFonts w:eastAsia="Times New Roman"/>
          <w:strike/>
          <w:color w:val="000000" w:themeColor="text1"/>
          <w:szCs w:val="20"/>
          <w:u w:color="000000" w:themeColor="text1"/>
        </w:rPr>
        <w:t>Act</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act</w:t>
      </w:r>
      <w:r>
        <w:rPr>
          <w:rFonts w:eastAsia="Times New Roman"/>
          <w:color w:val="000000" w:themeColor="text1"/>
          <w:szCs w:val="20"/>
          <w:u w:color="000000" w:themeColor="text1"/>
        </w:rPr>
        <w:t xml:space="preserve"> to move the adoption of its recommendations and other pertinent disposition of matters before it by decision of a simple majority of those members present and voting, provided there is a quorum of eight members.”</w:t>
      </w:r>
    </w:p>
    <w:p w:rsidR="00DF4CC9" w:rsidRDefault="00DF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5.</w:t>
      </w:r>
      <w:r>
        <w:rPr>
          <w:rFonts w:eastAsia="Times New Roman"/>
          <w:color w:val="000000" w:themeColor="text1"/>
          <w:szCs w:val="20"/>
          <w:u w:color="000000" w:themeColor="text1"/>
        </w:rPr>
        <w:tab/>
        <w:t>Article 1, Chapter 13, Title 63 of the 1976 Code is amended by adding:</w:t>
      </w:r>
    </w:p>
    <w:p w:rsidR="00DF4CC9" w:rsidRDefault="00DF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“Section 63-13-220.</w:t>
      </w:r>
      <w:r>
        <w:rPr>
          <w:rFonts w:eastAsia="Times New Roman"/>
          <w:color w:val="000000" w:themeColor="text1"/>
          <w:szCs w:val="20"/>
          <w:u w:color="000000" w:themeColor="text1"/>
        </w:rPr>
        <w:tab/>
        <w:t>(A)</w:t>
      </w:r>
      <w:r>
        <w:rPr>
          <w:rFonts w:eastAsia="Times New Roman"/>
          <w:color w:val="000000" w:themeColor="text1"/>
          <w:szCs w:val="20"/>
          <w:u w:color="000000" w:themeColor="text1"/>
        </w:rPr>
        <w:tab/>
        <w:t>As used in this section:</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(1)</w:t>
      </w:r>
      <w:r>
        <w:rPr>
          <w:rFonts w:eastAsia="Times New Roman"/>
          <w:color w:val="000000" w:themeColor="text1"/>
          <w:szCs w:val="20"/>
          <w:u w:color="000000" w:themeColor="text1"/>
        </w:rPr>
        <w:tab/>
        <w:t>‘Violation’ means a violation of a provision of this chapter or a regulation promulgated pursuant to this chapter that:</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(a)</w:t>
      </w:r>
      <w:r>
        <w:rPr>
          <w:rFonts w:eastAsia="Times New Roman"/>
          <w:color w:val="000000" w:themeColor="text1"/>
          <w:szCs w:val="20"/>
          <w:u w:color="000000" w:themeColor="text1"/>
        </w:rPr>
        <w:tab/>
        <w:t>constitutes an imminent danger to the health and safety of a child in a childcare facility;</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(b)</w:t>
      </w:r>
      <w:r>
        <w:rPr>
          <w:rFonts w:eastAsia="Times New Roman"/>
          <w:color w:val="000000" w:themeColor="text1"/>
          <w:szCs w:val="20"/>
          <w:u w:color="000000" w:themeColor="text1"/>
        </w:rPr>
        <w:tab/>
        <w:t>endangers, or has the potential to endanger, the health, safety, or well</w:t>
      </w:r>
      <w:r>
        <w:rPr>
          <w:rFonts w:eastAsia="Times New Roman"/>
          <w:color w:val="000000" w:themeColor="text1"/>
          <w:szCs w:val="20"/>
          <w:u w:color="000000" w:themeColor="text1"/>
        </w:rPr>
        <w:noBreakHyphen/>
        <w:t xml:space="preserve">being of a child in a childcare facility; or </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(c)</w:t>
      </w:r>
      <w:r>
        <w:rPr>
          <w:rFonts w:eastAsia="Times New Roman"/>
          <w:color w:val="000000" w:themeColor="text1"/>
          <w:szCs w:val="20"/>
          <w:u w:color="000000" w:themeColor="text1"/>
        </w:rPr>
        <w:tab/>
        <w:t xml:space="preserve">due to the consistency and frequency of the violation, could result in a threat of harm to a child in their care . </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‘Fine’ means a monetary penalty.</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(3)</w:t>
      </w:r>
      <w:r>
        <w:rPr>
          <w:rFonts w:eastAsia="Times New Roman"/>
          <w:color w:val="000000" w:themeColor="text1"/>
          <w:szCs w:val="20"/>
          <w:u w:color="000000" w:themeColor="text1"/>
        </w:rPr>
        <w:tab/>
        <w:t>‘Imminent danger’ means a situation that if not immediately corrected would be likely to cause bodily injury, pain, or death.</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(4)</w:t>
      </w:r>
      <w:r>
        <w:rPr>
          <w:rFonts w:eastAsia="Times New Roman"/>
          <w:color w:val="000000" w:themeColor="text1"/>
          <w:szCs w:val="20"/>
          <w:u w:color="000000" w:themeColor="text1"/>
        </w:rPr>
        <w:tab/>
        <w:t>‘Notice of noncompliance’ means the official written communication from the department that includes specifics of the violation of a provision of this chapter or a regulation promulgated pursuant to this chapter and the fine, if any.</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(B)(1)</w:t>
      </w:r>
      <w:r>
        <w:rPr>
          <w:rFonts w:eastAsia="Times New Roman"/>
          <w:color w:val="000000" w:themeColor="text1"/>
          <w:szCs w:val="20"/>
          <w:u w:color="000000" w:themeColor="text1"/>
        </w:rPr>
        <w:tab/>
        <w:t>An on</w:t>
      </w:r>
      <w:r>
        <w:rPr>
          <w:rFonts w:eastAsia="Times New Roman"/>
          <w:color w:val="000000" w:themeColor="text1"/>
          <w:szCs w:val="20"/>
          <w:u w:color="000000" w:themeColor="text1"/>
        </w:rPr>
        <w:noBreakHyphen/>
        <w:t>site deficiency citation on the appropriate department form may state whether the violation is a first violation or subsequent violation and must:</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(a)</w:t>
      </w:r>
      <w:r>
        <w:rPr>
          <w:rFonts w:eastAsia="Times New Roman"/>
          <w:color w:val="000000" w:themeColor="text1"/>
          <w:szCs w:val="20"/>
          <w:u w:color="000000" w:themeColor="text1"/>
        </w:rPr>
        <w:tab/>
        <w:t>describe the violation;</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(b)</w:t>
      </w:r>
      <w:r>
        <w:rPr>
          <w:rFonts w:eastAsia="Times New Roman"/>
          <w:color w:val="000000" w:themeColor="text1"/>
          <w:szCs w:val="20"/>
          <w:u w:color="000000" w:themeColor="text1"/>
        </w:rPr>
        <w:tab/>
        <w:t>cite the provision of this chapter or the regulation that was violated.</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A notice of noncompliance must:</w:t>
      </w:r>
      <w:r>
        <w:rPr>
          <w:rFonts w:eastAsia="Times New Roman"/>
          <w:color w:val="000000" w:themeColor="text1"/>
          <w:szCs w:val="20"/>
          <w:u w:val="single" w:color="000000" w:themeColor="text1"/>
        </w:rPr>
        <w:t xml:space="preserve"> </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(a)</w:t>
      </w:r>
      <w:r>
        <w:rPr>
          <w:rFonts w:eastAsia="Times New Roman"/>
          <w:color w:val="000000" w:themeColor="text1"/>
          <w:szCs w:val="20"/>
          <w:u w:color="000000" w:themeColor="text1"/>
        </w:rPr>
        <w:tab/>
        <w:t>describe the violation;</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(b)</w:t>
      </w:r>
      <w:r>
        <w:rPr>
          <w:rFonts w:eastAsia="Times New Roman"/>
          <w:color w:val="000000" w:themeColor="text1"/>
          <w:szCs w:val="20"/>
          <w:u w:color="000000" w:themeColor="text1"/>
        </w:rPr>
        <w:tab/>
        <w:t>cite the provision of this chapter or the regulation that was violated;</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(c)</w:t>
      </w:r>
      <w:r>
        <w:rPr>
          <w:rFonts w:eastAsia="Times New Roman"/>
          <w:color w:val="000000" w:themeColor="text1"/>
          <w:szCs w:val="20"/>
          <w:u w:color="000000" w:themeColor="text1"/>
        </w:rPr>
        <w:tab/>
        <w:t>state whether the violation is a first violation or subsequent violation;</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(d)</w:t>
      </w:r>
      <w:r>
        <w:rPr>
          <w:rFonts w:eastAsia="Times New Roman"/>
          <w:color w:val="000000" w:themeColor="text1"/>
          <w:szCs w:val="20"/>
          <w:u w:color="000000" w:themeColor="text1"/>
        </w:rPr>
        <w:tab/>
        <w:t>state the period of time the childcare facility has to correct the condition or practice that constituted the violation; and</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(e)</w:t>
      </w:r>
      <w:r>
        <w:rPr>
          <w:rFonts w:eastAsia="Times New Roman"/>
          <w:color w:val="000000" w:themeColor="text1"/>
          <w:szCs w:val="20"/>
          <w:u w:color="000000" w:themeColor="text1"/>
        </w:rPr>
        <w:tab/>
        <w:t>state the amount of the fine, if any.</w:t>
      </w:r>
      <w:r>
        <w:rPr>
          <w:rFonts w:eastAsia="Times New Roman"/>
          <w:color w:val="000000" w:themeColor="text1"/>
          <w:szCs w:val="20"/>
          <w:u w:color="000000" w:themeColor="text1"/>
        </w:rPr>
        <w:tab/>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(C)(1)</w:t>
      </w:r>
      <w:r>
        <w:rPr>
          <w:rFonts w:eastAsia="Times New Roman"/>
          <w:color w:val="000000" w:themeColor="text1"/>
          <w:szCs w:val="20"/>
          <w:u w:color="000000" w:themeColor="text1"/>
        </w:rPr>
        <w:tab/>
        <w:t xml:space="preserve">Violations must be corrected immediately unless a fixed period of time for correction is stipulated by the department and stated in the citation.  </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An uncorrected violation may constitute a separate violation.</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(D)(1)</w:t>
      </w:r>
      <w:r>
        <w:rPr>
          <w:rFonts w:eastAsia="Times New Roman"/>
          <w:color w:val="000000" w:themeColor="text1"/>
          <w:szCs w:val="20"/>
          <w:u w:color="000000" w:themeColor="text1"/>
        </w:rPr>
        <w:tab/>
        <w:t>A facility that violates a provision of this chapter or a regulation promulgated pursuant to this chapter is deemed to be in wilful violation of the chapter or the regulation, and a fine may be imposed against the facility by the department as provided for in this section.</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Before the department imposes a fine against a facility, a panel comprised of the state director of the Division of Childcare Licensing, or a designee, and four supervisors in the division, or their designees, shall review the circumstances of the violation.  The panel shall evaluate whether the circumstances warrant imposing a fine and the amount of the fine, and shall make these recommendations to the director or the director’s designee.  The final decision to impose a fine and the amount of the fine must be determined by the director or the director’s designee.</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(3)</w:t>
      </w:r>
      <w:r>
        <w:rPr>
          <w:rFonts w:eastAsia="Times New Roman"/>
          <w:color w:val="000000" w:themeColor="text1"/>
          <w:szCs w:val="20"/>
          <w:u w:color="000000" w:themeColor="text1"/>
        </w:rPr>
        <w:tab/>
        <w:t>The department may not impose a fine against a facility if extenuating circumstances exist that prohibit the facility from immediately correcting a violation and the facility provides evidence to the satisfaction of the department proving that the facility has made a sufficient and reasonable attempt to correct the violation in a timely manner and has eliminated the possibility of imminent danger to the health and safety of children in the facility.  If the violation is not corrected within a reasonable period of time, the department may impose a fine against the facility.</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(E)(1)</w:t>
      </w:r>
      <w:r>
        <w:rPr>
          <w:rFonts w:eastAsia="Times New Roman"/>
          <w:color w:val="000000" w:themeColor="text1"/>
          <w:szCs w:val="20"/>
          <w:u w:color="000000" w:themeColor="text1"/>
        </w:rPr>
        <w:tab/>
        <w:t>Fines must be based on these factors:</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(a)</w:t>
      </w:r>
      <w:r>
        <w:rPr>
          <w:rFonts w:eastAsia="Times New Roman"/>
          <w:color w:val="000000" w:themeColor="text1"/>
          <w:szCs w:val="20"/>
          <w:u w:color="000000" w:themeColor="text1"/>
        </w:rPr>
        <w:tab/>
        <w:t>wilful or negligent noncompliance by the facility;</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(b)</w:t>
      </w:r>
      <w:r>
        <w:rPr>
          <w:rFonts w:eastAsia="Times New Roman"/>
          <w:color w:val="000000" w:themeColor="text1"/>
          <w:szCs w:val="20"/>
          <w:u w:color="000000" w:themeColor="text1"/>
        </w:rPr>
        <w:tab/>
        <w:t>history of noncompliance;</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(c)</w:t>
      </w:r>
      <w:r>
        <w:rPr>
          <w:rFonts w:eastAsia="Times New Roman"/>
          <w:color w:val="000000" w:themeColor="text1"/>
          <w:szCs w:val="20"/>
          <w:u w:color="000000" w:themeColor="text1"/>
        </w:rPr>
        <w:tab/>
        <w:t>extent of deviation from the chapter or regulation;</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(d)</w:t>
      </w:r>
      <w:r>
        <w:rPr>
          <w:rFonts w:eastAsia="Times New Roman"/>
          <w:color w:val="000000" w:themeColor="text1"/>
          <w:szCs w:val="20"/>
          <w:u w:color="000000" w:themeColor="text1"/>
        </w:rPr>
        <w:tab/>
        <w:t>evidence of good faith effort to comply; and</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(e)</w:t>
      </w:r>
      <w:r>
        <w:rPr>
          <w:rFonts w:eastAsia="Times New Roman"/>
          <w:color w:val="000000" w:themeColor="text1"/>
          <w:szCs w:val="20"/>
          <w:u w:color="000000" w:themeColor="text1"/>
        </w:rPr>
        <w:tab/>
        <w:t>other factors relevant to the unique situation.</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A facility that commits a violation must be fined:</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(a)</w:t>
      </w:r>
      <w:r>
        <w:rPr>
          <w:rFonts w:eastAsia="Times New Roman"/>
          <w:color w:val="000000" w:themeColor="text1"/>
          <w:szCs w:val="20"/>
          <w:u w:color="000000" w:themeColor="text1"/>
        </w:rPr>
        <w:tab/>
        <w:t>not more than one thousand dollars if it is substantiated that a child was abused or neglected while in care and the violation presents an imminent danger to the health and safety of children;</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(b)</w:t>
      </w:r>
      <w:r>
        <w:rPr>
          <w:rFonts w:eastAsia="Times New Roman"/>
          <w:color w:val="000000" w:themeColor="text1"/>
          <w:szCs w:val="20"/>
          <w:u w:color="000000" w:themeColor="text1"/>
        </w:rPr>
        <w:tab/>
        <w:t>not more than five hundred dollars if a violation endangers, or has the potential to endanger, the children’s health, safety, or well</w:t>
      </w:r>
      <w:r>
        <w:rPr>
          <w:rFonts w:eastAsia="Times New Roman"/>
          <w:color w:val="000000" w:themeColor="text1"/>
          <w:szCs w:val="20"/>
          <w:u w:color="000000" w:themeColor="text1"/>
        </w:rPr>
        <w:noBreakHyphen/>
        <w:t>being, including, but not limited to:</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(i)</w:t>
      </w:r>
      <w:r>
        <w:rPr>
          <w:rFonts w:eastAsia="Times New Roman"/>
          <w:color w:val="000000" w:themeColor="text1"/>
          <w:szCs w:val="20"/>
          <w:u w:color="000000" w:themeColor="text1"/>
        </w:rPr>
        <w:tab/>
      </w:r>
      <w:r>
        <w:rPr>
          <w:rFonts w:eastAsia="Times New Roman"/>
          <w:color w:val="000000" w:themeColor="text1"/>
          <w:szCs w:val="20"/>
          <w:u w:color="000000" w:themeColor="text1"/>
        </w:rPr>
        <w:tab/>
        <w:t>repeated incidents exceeding the number of children allowed;</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(ii)</w:t>
      </w:r>
      <w:r>
        <w:rPr>
          <w:rFonts w:eastAsia="Times New Roman"/>
          <w:color w:val="000000" w:themeColor="text1"/>
          <w:szCs w:val="20"/>
          <w:u w:color="000000" w:themeColor="text1"/>
        </w:rPr>
        <w:tab/>
        <w:t>repeated incidents in which there has been a lack of supervision of the children; or</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(iii)</w:t>
      </w:r>
      <w:r>
        <w:rPr>
          <w:rFonts w:eastAsia="Times New Roman"/>
          <w:color w:val="000000" w:themeColor="text1"/>
          <w:szCs w:val="20"/>
          <w:u w:color="000000" w:themeColor="text1"/>
        </w:rPr>
        <w:tab/>
        <w:t>wilful, repeated pattern of noncompliance with a childcare requirement;</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(iv)</w:t>
      </w:r>
      <w:r>
        <w:rPr>
          <w:rFonts w:eastAsia="Times New Roman"/>
          <w:color w:val="000000" w:themeColor="text1"/>
          <w:szCs w:val="20"/>
          <w:u w:color="000000" w:themeColor="text1"/>
        </w:rPr>
        <w:tab/>
        <w:t>failure to comply with a corrective action plan designed by the department to correct noncompliance with an applicable childcare requirement.</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(F)</w:t>
      </w:r>
      <w:r>
        <w:rPr>
          <w:rFonts w:eastAsia="Times New Roman"/>
          <w:color w:val="000000" w:themeColor="text1"/>
          <w:szCs w:val="20"/>
          <w:u w:color="000000" w:themeColor="text1"/>
        </w:rPr>
        <w:tab/>
        <w:t>A fine imposed pursuant to this section must be paid in full not more than thirty days after receipt of the citation or notice of noncompliance.  An entity that shows good faith in its intention to pay a fine, but which cannot pay the fine in full, may request that the department place the entity on a payment plan in accordance with departmental policy.</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(G)(1)</w:t>
      </w:r>
      <w:r>
        <w:rPr>
          <w:rFonts w:eastAsia="Times New Roman"/>
          <w:color w:val="000000" w:themeColor="text1"/>
          <w:szCs w:val="20"/>
          <w:u w:color="000000" w:themeColor="text1"/>
        </w:rPr>
        <w:tab/>
        <w:t>Within thirty days of receiving a notice of noncompliance imposing a fine, the childcare facility may file a written request with the Office of Administrative Hearings appealing the fine.  The appeal stays the imposition of the fine and any conditions for additional citations for that violation.</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The Office of Administrative Hearings shall give notice of a hearing no later than thirty days after receiving the request appealing the fine.</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(3)</w:t>
      </w:r>
      <w:r>
        <w:rPr>
          <w:rFonts w:eastAsia="Times New Roman"/>
          <w:color w:val="000000" w:themeColor="text1"/>
          <w:szCs w:val="20"/>
          <w:u w:color="000000" w:themeColor="text1"/>
        </w:rPr>
        <w:tab/>
        <w:t>After the hearing, a final decision regarding the fine must be rendered by the director of the department or the director’s designee.</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(4)</w:t>
      </w:r>
      <w:r>
        <w:rPr>
          <w:rFonts w:eastAsia="Times New Roman"/>
          <w:color w:val="000000" w:themeColor="text1"/>
          <w:szCs w:val="20"/>
          <w:u w:color="000000" w:themeColor="text1"/>
        </w:rPr>
        <w:tab/>
        <w:t>The director’s designee does not have the authority to reduce a fine during the appeal process but in the final appeal order does have authority to revise the fine based on findings of fact.</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(5)</w:t>
      </w:r>
      <w:r>
        <w:rPr>
          <w:rFonts w:eastAsia="Times New Roman"/>
          <w:color w:val="000000" w:themeColor="text1"/>
          <w:szCs w:val="20"/>
          <w:u w:color="000000" w:themeColor="text1"/>
        </w:rPr>
        <w:tab/>
        <w:t>When the result of the appeal is favorable to the department, the fine must be paid on or before the date specified in the final appeal order.  Fines collected by the department must be remitted to the State Treasurer and credited to the general fund.</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(6)</w:t>
      </w:r>
      <w:r>
        <w:rPr>
          <w:rFonts w:eastAsia="Times New Roman"/>
          <w:color w:val="000000" w:themeColor="text1"/>
          <w:szCs w:val="20"/>
          <w:u w:color="000000" w:themeColor="text1"/>
        </w:rPr>
        <w:tab/>
        <w:t>When the result of the appeal is favorable to the facility, any fines paid to the department must be returned to the facility and any reference to the citation removed from the department file.</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(7)</w:t>
      </w:r>
      <w:r>
        <w:rPr>
          <w:rFonts w:eastAsia="Times New Roman"/>
          <w:color w:val="000000" w:themeColor="text1"/>
          <w:szCs w:val="20"/>
          <w:u w:color="000000" w:themeColor="text1"/>
        </w:rPr>
        <w:tab/>
        <w:t xml:space="preserve">Failure to pay a fine by the date specified in the final appeal order or failure to file a request appealing a fine within thirty days after receiving the notice of noncompliance may result in revocation of the childcare facility’s license or registration.  </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(8)</w:t>
      </w:r>
      <w:r>
        <w:rPr>
          <w:rFonts w:eastAsia="Times New Roman"/>
          <w:color w:val="000000" w:themeColor="text1"/>
          <w:szCs w:val="20"/>
          <w:u w:color="000000" w:themeColor="text1"/>
        </w:rPr>
        <w:tab/>
        <w:t>The final appeal order is the final decision of the department and may be appealed to an administrative law judge pursuant to the Administrative Procedures Act.”</w:t>
      </w:r>
    </w:p>
    <w:p w:rsidR="00DF4CC9" w:rsidRDefault="00DF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6.</w:t>
      </w:r>
      <w:r>
        <w:rPr>
          <w:rFonts w:eastAsia="Times New Roman"/>
          <w:szCs w:val="20"/>
        </w:rPr>
        <w:tab/>
        <w:t>This act takes effect one hundred and eighty days after approval by the Governor.</w:t>
      </w:r>
    </w:p>
    <w:p w:rsidR="00DF4CC9" w:rsidRDefault="00F4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noBreakHyphen/>
      </w:r>
      <w:r>
        <w:rPr>
          <w:rFonts w:eastAsia="Times New Roman"/>
          <w:szCs w:val="20"/>
        </w:rPr>
        <w:noBreakHyphen/>
      </w:r>
      <w:r>
        <w:rPr>
          <w:rFonts w:eastAsia="Times New Roman"/>
          <w:szCs w:val="20"/>
        </w:rPr>
        <w:noBreakHyphen/>
      </w:r>
      <w:r>
        <w:rPr>
          <w:rFonts w:eastAsia="Times New Roman"/>
          <w:szCs w:val="20"/>
        </w:rPr>
        <w:noBreakHyphen/>
        <w:t>XX</w:t>
      </w:r>
      <w:r>
        <w:rPr>
          <w:rFonts w:eastAsia="Times New Roman"/>
          <w:szCs w:val="20"/>
        </w:rPr>
        <w:noBreakHyphen/>
      </w:r>
      <w:r>
        <w:rPr>
          <w:rFonts w:eastAsia="Times New Roman"/>
          <w:szCs w:val="20"/>
        </w:rPr>
        <w:noBreakHyphen/>
      </w:r>
      <w:r>
        <w:rPr>
          <w:rFonts w:eastAsia="Times New Roman"/>
          <w:szCs w:val="20"/>
        </w:rPr>
        <w:noBreakHyphen/>
      </w:r>
      <w:r>
        <w:rPr>
          <w:rFonts w:eastAsia="Times New Roman"/>
          <w:szCs w:val="20"/>
        </w:rPr>
        <w:noBreakHyphen/>
      </w:r>
    </w:p>
    <w:p w:rsidR="00DF4CC9" w:rsidRDefault="00DF4CC9">
      <w:pPr>
        <w:suppressAutoHyphens/>
        <w:jc w:val="both"/>
        <w:rPr>
          <w:rFonts w:eastAsia="Times New Roman"/>
          <w:szCs w:val="20"/>
        </w:rPr>
      </w:pPr>
    </w:p>
    <w:sectPr w:rsidR="00DF4CC9" w:rsidSect="00DF4CC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4CC9" w:rsidRDefault="00F43F9A">
      <w:r>
        <w:separator/>
      </w:r>
    </w:p>
  </w:endnote>
  <w:endnote w:type="continuationSeparator" w:id="0">
    <w:p w:rsidR="00DF4CC9" w:rsidRDefault="00F43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FFCBBA-2BEB-43B3-B251-72A02D685DE7}"/>
    <w:embedBold r:id="rId2" w:fontKey="{CB1AF035-B0E9-4030-A078-C941C22D90CB}"/>
  </w:font>
  <w:font w:name="Calibri">
    <w:panose1 w:val="020F0502020204030204"/>
    <w:charset w:val="00"/>
    <w:family w:val="swiss"/>
    <w:pitch w:val="variable"/>
    <w:sig w:usb0="E10002FF" w:usb1="4000ACFF" w:usb2="00000009" w:usb3="00000000" w:csb0="0000019F" w:csb1="00000000"/>
    <w:embedRegular r:id="rId3" w:fontKey="{C0611D4A-1A11-479C-A688-AD688AA8A3A6}"/>
    <w:embedBold r:id="rId4" w:fontKey="{C0AEAE86-70FF-42CF-AC31-0B005A603640}"/>
  </w:font>
  <w:font w:name="Tahoma">
    <w:panose1 w:val="020B0604030504040204"/>
    <w:charset w:val="00"/>
    <w:family w:val="swiss"/>
    <w:pitch w:val="variable"/>
    <w:sig w:usb0="21002A87" w:usb1="80000000" w:usb2="00000008" w:usb3="00000000" w:csb0="000101FF" w:csb1="00000000"/>
    <w:embedRegular r:id="rId5" w:fontKey="{3CF7F142-25C8-494B-9C9D-8C3E2BF8B573}"/>
  </w:font>
  <w:font w:name="Cambria">
    <w:panose1 w:val="02040503050406030204"/>
    <w:charset w:val="00"/>
    <w:family w:val="roman"/>
    <w:pitch w:val="variable"/>
    <w:sig w:usb0="E00002FF" w:usb1="400004FF" w:usb2="00000000" w:usb3="00000000" w:csb0="0000019F" w:csb1="00000000"/>
    <w:embedRegular r:id="rId6" w:fontKey="{4F8672A1-9B37-4E4A-B317-35EC38C8B4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CC9" w:rsidRDefault="00F43F9A">
    <w:pPr>
      <w:pStyle w:val="Footer"/>
      <w:tabs>
        <w:tab w:val="clear" w:pos="4680"/>
        <w:tab w:val="clear" w:pos="9360"/>
        <w:tab w:val="center" w:pos="2995"/>
      </w:tabs>
      <w:spacing w:before="120"/>
    </w:pPr>
    <w:r>
      <w:t>[485]</w:t>
    </w:r>
    <w:r>
      <w:tab/>
    </w:r>
    <w:r w:rsidR="00DF1DD3">
      <w:fldChar w:fldCharType="begin"/>
    </w:r>
    <w:r w:rsidR="00DF1DD3">
      <w:instrText xml:space="preserve"> PAGE  \* MERGEFORMAT </w:instrText>
    </w:r>
    <w:r w:rsidR="00DF1DD3">
      <w:fldChar w:fldCharType="separate"/>
    </w:r>
    <w:r w:rsidR="00DF1DD3">
      <w:rPr>
        <w:noProof/>
      </w:rPr>
      <w:t>1</w:t>
    </w:r>
    <w:r w:rsidR="00DF1DD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4CC9" w:rsidRDefault="00F43F9A">
      <w:r>
        <w:separator/>
      </w:r>
    </w:p>
  </w:footnote>
  <w:footnote w:type="continuationSeparator" w:id="0">
    <w:p w:rsidR="00DF4CC9" w:rsidRDefault="00F43F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2"/>
  </w:compat>
  <w:docVars>
    <w:docVar w:name="clipname" w:val="008CHIL.TCM.JL"/>
    <w:docVar w:name="CoverAttorneyInitials" w:val="TCM"/>
    <w:docVar w:name="CoverAttorneyLastName" w:val="Miles"/>
    <w:docVar w:name="CoverBillType" w:val="b"/>
    <w:docVar w:name="CoverSenator" w:val="JL"/>
    <w:docVar w:name="dvBillNumber" w:val="485"/>
    <w:docVar w:name="dvBillNumberPrefix" w:val="S. "/>
    <w:docVar w:name="dvOriginalBody" w:val="Senate"/>
    <w:docVar w:name="fulldraftpath" w:val="L:\S-RESMIN\DRAFTING\JL\008CHIL.TCM.JL.DOCX"/>
    <w:docVar w:name="NameofBody" w:val="S"/>
    <w:docVar w:name="vgroup2" w:val="S-RESMIN"/>
  </w:docVars>
  <w:rsids>
    <w:rsidRoot w:val="00DF4CC9"/>
    <w:rsid w:val="00466976"/>
    <w:rsid w:val="004E3162"/>
    <w:rsid w:val="00A06E0A"/>
    <w:rsid w:val="00CC5DC6"/>
    <w:rsid w:val="00DF1DD3"/>
    <w:rsid w:val="00DF4CC9"/>
    <w:rsid w:val="00ED2011"/>
    <w:rsid w:val="00F43F9A"/>
    <w:rsid w:val="00F94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oNotEmbedSmartTags/>
  <w:decimalSymbol w:val="."/>
  <w:listSeparator w:val=","/>
  <w15:docId w15:val="{CDAF44E1-7434-47AB-A3FF-88315E93E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4C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DF4CC9"/>
    <w:pPr>
      <w:tabs>
        <w:tab w:val="center" w:pos="4680"/>
        <w:tab w:val="right" w:pos="9360"/>
      </w:tabs>
    </w:pPr>
  </w:style>
  <w:style w:type="character" w:customStyle="1" w:styleId="FooterChar">
    <w:name w:val="Footer Char"/>
    <w:basedOn w:val="DefaultParagraphFont"/>
    <w:link w:val="Footer"/>
    <w:uiPriority w:val="99"/>
    <w:semiHidden/>
    <w:rsid w:val="00DF4CC9"/>
  </w:style>
  <w:style w:type="character" w:styleId="PageNumber">
    <w:name w:val="page number"/>
    <w:basedOn w:val="DefaultParagraphFont"/>
    <w:uiPriority w:val="99"/>
    <w:semiHidden/>
    <w:unhideWhenUsed/>
    <w:rsid w:val="00DF4CC9"/>
  </w:style>
  <w:style w:type="character" w:styleId="LineNumber">
    <w:name w:val="line number"/>
    <w:basedOn w:val="DefaultParagraphFont"/>
    <w:uiPriority w:val="99"/>
    <w:semiHidden/>
    <w:unhideWhenUsed/>
    <w:rsid w:val="00DF4CC9"/>
  </w:style>
  <w:style w:type="paragraph" w:styleId="Header">
    <w:name w:val="header"/>
    <w:basedOn w:val="Normal"/>
    <w:link w:val="HeaderChar"/>
    <w:uiPriority w:val="99"/>
    <w:semiHidden/>
    <w:unhideWhenUsed/>
    <w:rsid w:val="00DF4CC9"/>
    <w:pPr>
      <w:tabs>
        <w:tab w:val="center" w:pos="4680"/>
        <w:tab w:val="right" w:pos="9360"/>
      </w:tabs>
    </w:pPr>
  </w:style>
  <w:style w:type="character" w:customStyle="1" w:styleId="HeaderChar">
    <w:name w:val="Header Char"/>
    <w:basedOn w:val="DefaultParagraphFont"/>
    <w:link w:val="Header"/>
    <w:uiPriority w:val="99"/>
    <w:semiHidden/>
    <w:rsid w:val="00DF4CC9"/>
  </w:style>
  <w:style w:type="paragraph" w:customStyle="1" w:styleId="BillDots">
    <w:name w:val="BillDots"/>
    <w:basedOn w:val="Normal"/>
    <w:qFormat/>
    <w:rsid w:val="00DF4CC9"/>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DF4CC9"/>
    <w:pPr>
      <w:tabs>
        <w:tab w:val="right" w:pos="5904"/>
      </w:tabs>
    </w:pPr>
  </w:style>
  <w:style w:type="paragraph" w:styleId="BalloonText">
    <w:name w:val="Balloon Text"/>
    <w:basedOn w:val="Normal"/>
    <w:link w:val="BalloonTextChar"/>
    <w:uiPriority w:val="99"/>
    <w:semiHidden/>
    <w:unhideWhenUsed/>
    <w:rsid w:val="00DF4CC9"/>
    <w:rPr>
      <w:rFonts w:ascii="Tahoma" w:hAnsi="Tahoma" w:cs="Tahoma"/>
      <w:sz w:val="16"/>
      <w:szCs w:val="16"/>
    </w:rPr>
  </w:style>
  <w:style w:type="character" w:customStyle="1" w:styleId="BalloonTextChar">
    <w:name w:val="Balloon Text Char"/>
    <w:basedOn w:val="DefaultParagraphFont"/>
    <w:link w:val="BalloonText"/>
    <w:uiPriority w:val="99"/>
    <w:semiHidden/>
    <w:rsid w:val="00DF4CC9"/>
    <w:rPr>
      <w:rFonts w:ascii="Tahoma" w:hAnsi="Tahoma" w:cs="Tahoma"/>
      <w:sz w:val="16"/>
      <w:szCs w:val="16"/>
    </w:rPr>
  </w:style>
  <w:style w:type="character" w:styleId="Hyperlink">
    <w:name w:val="Hyperlink"/>
    <w:basedOn w:val="DefaultParagraphFont"/>
    <w:uiPriority w:val="99"/>
    <w:unhideWhenUsed/>
    <w:rsid w:val="00DF4C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85_20090225.docx" TargetMode="External"/><Relationship Id="rId3" Type="http://schemas.openxmlformats.org/officeDocument/2006/relationships/webSettings" Target="webSettings.xml"/><Relationship Id="rId7" Type="http://schemas.openxmlformats.org/officeDocument/2006/relationships/hyperlink" Target="file:///h:\SJ%20Archive\2009\02-25-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2-25-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2228</Words>
  <Characters>11732</Characters>
  <Application>Microsoft Office Word</Application>
  <DocSecurity>0</DocSecurity>
  <Lines>307</Lines>
  <Paragraphs>97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485: Childcare Safety Enhancement Act of 2009 - South Carolina Legislature Online</dc:title>
  <dc:subject/>
  <dc:creator>TEMMILES</dc:creator>
  <cp:keywords/>
  <dc:description/>
  <cp:lastModifiedBy>N Cumfer</cp:lastModifiedBy>
  <cp:revision>11</cp:revision>
  <cp:lastPrinted>2009-02-17T16:05:00Z</cp:lastPrinted>
  <dcterms:created xsi:type="dcterms:W3CDTF">2009-02-25T22:20:00Z</dcterms:created>
  <dcterms:modified xsi:type="dcterms:W3CDTF">2014-11-24T15:00:00Z</dcterms:modified>
</cp:coreProperties>
</file>