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29E" w:rsidRDefault="00EF1C81">
      <w:pPr>
        <w:widowControl w:val="0"/>
        <w:jc w:val="center"/>
        <w:rPr>
          <w:rFonts w:cs="Times New Roman"/>
        </w:rPr>
      </w:pPr>
      <w:bookmarkStart w:id="0" w:name="_GoBack"/>
      <w:bookmarkEnd w:id="0"/>
      <w:r>
        <w:rPr>
          <w:rFonts w:cs="Times New Roman"/>
          <w:b/>
        </w:rPr>
        <w:t>South Carolina General Assembly</w:t>
      </w:r>
    </w:p>
    <w:p w:rsidR="0001129E" w:rsidRDefault="00EF1C81">
      <w:pPr>
        <w:widowControl w:val="0"/>
        <w:jc w:val="center"/>
        <w:rPr>
          <w:rFonts w:cs="Times New Roman"/>
        </w:rPr>
      </w:pPr>
      <w:r>
        <w:rPr>
          <w:rFonts w:cs="Times New Roman"/>
        </w:rPr>
        <w:t>118th Session, 2009-2010</w:t>
      </w:r>
    </w:p>
    <w:p w:rsidR="0001129E" w:rsidRDefault="0001129E">
      <w:pPr>
        <w:widowControl w:val="0"/>
        <w:jc w:val="left"/>
        <w:rPr>
          <w:rFonts w:cs="Times New Roman"/>
        </w:rPr>
      </w:pPr>
    </w:p>
    <w:p w:rsidR="0001129E" w:rsidRDefault="00EF1C81">
      <w:pPr>
        <w:widowControl w:val="0"/>
        <w:jc w:val="left"/>
        <w:rPr>
          <w:rFonts w:cs="Times New Roman"/>
          <w:b/>
        </w:rPr>
      </w:pPr>
      <w:r>
        <w:rPr>
          <w:rFonts w:cs="Times New Roman"/>
          <w:b/>
        </w:rPr>
        <w:t>S. 51</w:t>
      </w:r>
    </w:p>
    <w:p w:rsidR="0001129E" w:rsidRDefault="0001129E">
      <w:pPr>
        <w:widowControl w:val="0"/>
        <w:jc w:val="left"/>
        <w:rPr>
          <w:rFonts w:cs="Times New Roman"/>
          <w:b/>
        </w:rPr>
      </w:pPr>
    </w:p>
    <w:p w:rsidR="0001129E" w:rsidRDefault="00EF1C81">
      <w:pPr>
        <w:widowControl w:val="0"/>
        <w:jc w:val="left"/>
        <w:rPr>
          <w:rFonts w:cs="Times New Roman"/>
        </w:rPr>
      </w:pPr>
      <w:r>
        <w:rPr>
          <w:rFonts w:cs="Times New Roman"/>
          <w:b/>
        </w:rPr>
        <w:t>STATUS INFORMATION</w:t>
      </w:r>
    </w:p>
    <w:p w:rsidR="0001129E" w:rsidRDefault="0001129E">
      <w:pPr>
        <w:widowControl w:val="0"/>
        <w:jc w:val="left"/>
        <w:rPr>
          <w:rFonts w:cs="Times New Roman"/>
        </w:rPr>
      </w:pPr>
    </w:p>
    <w:p w:rsidR="0001129E" w:rsidRDefault="00EF1C81">
      <w:pPr>
        <w:widowControl w:val="0"/>
        <w:jc w:val="left"/>
        <w:rPr>
          <w:rFonts w:cs="Times New Roman"/>
        </w:rPr>
      </w:pPr>
      <w:r>
        <w:rPr>
          <w:rFonts w:cs="Times New Roman"/>
        </w:rPr>
        <w:t>General Bill</w:t>
      </w:r>
    </w:p>
    <w:p w:rsidR="0001129E" w:rsidRDefault="00EF1C81">
      <w:pPr>
        <w:widowControl w:val="0"/>
        <w:jc w:val="left"/>
        <w:rPr>
          <w:rFonts w:cs="Times New Roman"/>
        </w:rPr>
      </w:pPr>
      <w:r>
        <w:rPr>
          <w:rFonts w:cs="Times New Roman"/>
        </w:rPr>
        <w:t>Sponsors: Senator Ford</w:t>
      </w:r>
    </w:p>
    <w:p w:rsidR="0001129E" w:rsidRDefault="00EF1C81">
      <w:pPr>
        <w:widowControl w:val="0"/>
        <w:jc w:val="left"/>
        <w:rPr>
          <w:rFonts w:cs="Times New Roman"/>
        </w:rPr>
      </w:pPr>
      <w:r>
        <w:rPr>
          <w:rFonts w:cs="Times New Roman"/>
        </w:rPr>
        <w:t>Document Path: l:\council\bills\ggs\22175ab09.docx</w:t>
      </w:r>
    </w:p>
    <w:p w:rsidR="0001129E" w:rsidRDefault="003004D2">
      <w:pPr>
        <w:widowControl w:val="0"/>
        <w:jc w:val="left"/>
        <w:rPr>
          <w:rFonts w:cs="Times New Roman"/>
        </w:rPr>
      </w:pPr>
      <w:r>
        <w:rPr>
          <w:rFonts w:cs="Times New Roman"/>
        </w:rPr>
        <w:t>Companion/Similar bill(s): 3500, 4591</w:t>
      </w:r>
    </w:p>
    <w:p w:rsidR="0001129E" w:rsidRDefault="0001129E">
      <w:pPr>
        <w:widowControl w:val="0"/>
        <w:jc w:val="left"/>
        <w:rPr>
          <w:rFonts w:cs="Times New Roman"/>
        </w:rPr>
      </w:pPr>
    </w:p>
    <w:p w:rsidR="0001129E" w:rsidRDefault="00EF1C81">
      <w:pPr>
        <w:widowControl w:val="0"/>
        <w:jc w:val="left"/>
        <w:rPr>
          <w:rFonts w:cs="Times New Roman"/>
        </w:rPr>
      </w:pPr>
      <w:r>
        <w:rPr>
          <w:rFonts w:cs="Times New Roman"/>
        </w:rPr>
        <w:t>Introduced in the Senate on January 13, 2009</w:t>
      </w:r>
    </w:p>
    <w:p w:rsidR="0001129E" w:rsidRDefault="00EF1C81">
      <w:pPr>
        <w:widowControl w:val="0"/>
        <w:jc w:val="left"/>
        <w:rPr>
          <w:rFonts w:cs="Times New Roman"/>
        </w:rPr>
      </w:pPr>
      <w:r>
        <w:rPr>
          <w:rFonts w:cs="Times New Roman"/>
        </w:rPr>
        <w:t xml:space="preserve">Currently residing in the Senate Committee on </w:t>
      </w:r>
      <w:r>
        <w:rPr>
          <w:rFonts w:cs="Times New Roman"/>
          <w:b/>
        </w:rPr>
        <w:t>Judiciary</w:t>
      </w:r>
    </w:p>
    <w:p w:rsidR="0001129E" w:rsidRDefault="0001129E">
      <w:pPr>
        <w:widowControl w:val="0"/>
        <w:jc w:val="left"/>
        <w:rPr>
          <w:rFonts w:cs="Times New Roman"/>
        </w:rPr>
      </w:pPr>
    </w:p>
    <w:p w:rsidR="0001129E" w:rsidRDefault="00EF1C81">
      <w:pPr>
        <w:widowControl w:val="0"/>
        <w:jc w:val="left"/>
        <w:rPr>
          <w:rFonts w:cs="Times New Roman"/>
        </w:rPr>
      </w:pPr>
      <w:r>
        <w:rPr>
          <w:rFonts w:cs="Times New Roman"/>
        </w:rPr>
        <w:t>Summary: Execution of a judgment for ejectment</w:t>
      </w:r>
    </w:p>
    <w:p w:rsidR="0001129E" w:rsidRDefault="0001129E">
      <w:pPr>
        <w:widowControl w:val="0"/>
        <w:jc w:val="left"/>
        <w:rPr>
          <w:rFonts w:cs="Times New Roman"/>
        </w:rPr>
      </w:pPr>
    </w:p>
    <w:p w:rsidR="0001129E" w:rsidRDefault="0001129E">
      <w:pPr>
        <w:widowControl w:val="0"/>
        <w:jc w:val="left"/>
        <w:rPr>
          <w:rFonts w:cs="Times New Roman"/>
        </w:rPr>
      </w:pPr>
    </w:p>
    <w:p w:rsidR="0001129E" w:rsidRDefault="00EF1C8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1129E" w:rsidRDefault="0001129E">
      <w:pPr>
        <w:widowControl w:val="0"/>
        <w:tabs>
          <w:tab w:val="center" w:pos="590"/>
          <w:tab w:val="center" w:pos="1440"/>
          <w:tab w:val="left" w:pos="1872"/>
          <w:tab w:val="left" w:pos="9187"/>
        </w:tabs>
        <w:jc w:val="left"/>
        <w:rPr>
          <w:rFonts w:cs="Times New Roman"/>
        </w:rPr>
      </w:pPr>
    </w:p>
    <w:p w:rsidR="0001129E" w:rsidRDefault="00EF1C8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1129E" w:rsidRDefault="00EF1C8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1129E" w:rsidRDefault="00EF1C8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01129E" w:rsidRDefault="00EF1C8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76F0D">
          <w:rPr>
            <w:rStyle w:val="Hyperlink"/>
            <w:rFonts w:cs="Times New Roman"/>
          </w:rPr>
          <w:t>SJ</w:t>
        </w:r>
      </w:hyperlink>
      <w:r>
        <w:rPr>
          <w:rFonts w:cs="Times New Roman"/>
        </w:rPr>
        <w:noBreakHyphen/>
        <w:t>96</w:t>
      </w:r>
    </w:p>
    <w:p w:rsidR="0001129E" w:rsidRDefault="00EF1C8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76F0D">
          <w:rPr>
            <w:rStyle w:val="Hyperlink"/>
            <w:rFonts w:cs="Times New Roman"/>
          </w:rPr>
          <w:t>SJ</w:t>
        </w:r>
      </w:hyperlink>
      <w:r>
        <w:rPr>
          <w:rFonts w:cs="Times New Roman"/>
        </w:rPr>
        <w:noBreakHyphen/>
        <w:t>96</w:t>
      </w:r>
    </w:p>
    <w:p w:rsidR="0001129E" w:rsidRDefault="0001129E">
      <w:pPr>
        <w:widowControl w:val="0"/>
        <w:tabs>
          <w:tab w:val="right" w:pos="1008"/>
          <w:tab w:val="left" w:pos="1152"/>
          <w:tab w:val="left" w:pos="1872"/>
          <w:tab w:val="left" w:pos="9187"/>
        </w:tabs>
        <w:ind w:left="2088" w:hanging="2088"/>
        <w:jc w:val="left"/>
        <w:rPr>
          <w:rFonts w:cs="Times New Roman"/>
        </w:rPr>
      </w:pPr>
    </w:p>
    <w:p w:rsidR="0001129E" w:rsidRDefault="0001129E">
      <w:pPr>
        <w:widowControl w:val="0"/>
        <w:tabs>
          <w:tab w:val="right" w:pos="1008"/>
          <w:tab w:val="left" w:pos="1152"/>
          <w:tab w:val="left" w:pos="1872"/>
          <w:tab w:val="left" w:pos="9187"/>
        </w:tabs>
        <w:ind w:left="2088" w:hanging="2088"/>
        <w:jc w:val="left"/>
        <w:rPr>
          <w:rFonts w:cs="Times New Roman"/>
        </w:rPr>
      </w:pPr>
    </w:p>
    <w:p w:rsidR="0001129E" w:rsidRDefault="00EF1C81">
      <w:pPr>
        <w:widowControl w:val="0"/>
        <w:jc w:val="left"/>
        <w:rPr>
          <w:rFonts w:cs="Times New Roman"/>
        </w:rPr>
      </w:pPr>
      <w:r>
        <w:rPr>
          <w:rFonts w:cs="Times New Roman"/>
          <w:b/>
        </w:rPr>
        <w:t>VERSIONS OF THIS BILL</w:t>
      </w:r>
    </w:p>
    <w:p w:rsidR="0001129E" w:rsidRDefault="0001129E">
      <w:pPr>
        <w:widowControl w:val="0"/>
        <w:jc w:val="left"/>
        <w:rPr>
          <w:rFonts w:cs="Times New Roman"/>
        </w:rPr>
      </w:pPr>
    </w:p>
    <w:p w:rsidR="0001129E" w:rsidRDefault="003925A4">
      <w:pPr>
        <w:widowControl w:val="0"/>
        <w:jc w:val="left"/>
        <w:rPr>
          <w:rFonts w:cs="Times New Roman"/>
        </w:rPr>
      </w:pPr>
      <w:hyperlink r:id="rId8" w:history="1">
        <w:r w:rsidR="00EF1C81">
          <w:rPr>
            <w:rStyle w:val="Hyperlink"/>
            <w:rFonts w:cs="Times New Roman"/>
          </w:rPr>
          <w:t>12/10/2008</w:t>
        </w:r>
      </w:hyperlink>
    </w:p>
    <w:p w:rsidR="0001129E" w:rsidRDefault="0001129E"/>
    <w:p w:rsidR="0001129E" w:rsidRDefault="0001129E">
      <w:pPr>
        <w:sectPr w:rsidR="0001129E">
          <w:pgSz w:w="12240" w:h="15840" w:code="1"/>
          <w:pgMar w:top="1080" w:right="1440" w:bottom="1080" w:left="1440" w:header="720" w:footer="720" w:gutter="0"/>
          <w:cols w:space="720"/>
          <w:noEndnote/>
          <w:docGrid w:linePitch="360"/>
        </w:sectPr>
      </w:pPr>
    </w:p>
    <w:p w:rsidR="0001129E" w:rsidRDefault="000112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aps/>
          <w:color w:val="000000"/>
          <w:szCs w:val="20"/>
        </w:rPr>
      </w:pPr>
      <w:bookmarkStart w:id="3" w:name="titletop"/>
      <w:bookmarkEnd w:id="3"/>
      <w:r>
        <w:rPr>
          <w:rFonts w:eastAsia="Times New Roman" w:cs="Times New Roman"/>
          <w:caps/>
          <w:szCs w:val="20"/>
        </w:rPr>
        <w:t>TO AMEND THE code of laws of south carolina, 1976, BY ADDING section 27</w:t>
      </w:r>
      <w:r>
        <w:rPr>
          <w:rFonts w:eastAsia="Times New Roman" w:cs="Times New Roman"/>
          <w:caps/>
          <w:szCs w:val="20"/>
        </w:rPr>
        <w:noBreakHyphen/>
        <w:t>40</w:t>
      </w:r>
      <w:r>
        <w:rPr>
          <w:rFonts w:eastAsia="Times New Roman" w:cs="Times New Roman"/>
          <w:caps/>
          <w:szCs w:val="20"/>
        </w:rPr>
        <w:noBreakHyphen/>
        <w:t>810 SO AS TO PROVIDE THE execution of a judgment for ejectment may not occur until at least seven days lapse from the date on which the magistrate issued the order or, if the judgment is stayed, until at least seven days lapse from the date on which the order is lifted, AND During the seven day period the tenant may remove his personal property from the premises without interference from the landlord; and to amend section 27</w:t>
      </w:r>
      <w:r>
        <w:rPr>
          <w:rFonts w:eastAsia="Times New Roman" w:cs="Times New Roman"/>
          <w:caps/>
          <w:szCs w:val="20"/>
        </w:rPr>
        <w:noBreakHyphen/>
        <w:t>40</w:t>
      </w:r>
      <w:r>
        <w:rPr>
          <w:rFonts w:eastAsia="Times New Roman" w:cs="Times New Roman"/>
          <w:caps/>
          <w:szCs w:val="20"/>
        </w:rPr>
        <w:noBreakHyphen/>
        <w:t xml:space="preserve">710, relating to removal of an evicted tenant’s personal property from the rental premises, so as to provide the party removing the personal property shall retain possession of the </w:t>
      </w:r>
      <w:r>
        <w:rPr>
          <w:rFonts w:eastAsia="Times New Roman" w:cs="Times New Roman"/>
          <w:caps/>
          <w:color w:val="000000"/>
          <w:szCs w:val="20"/>
        </w:rPr>
        <w:t>personal property for thirty days, during which time the tenant may recover the personal property.</w:t>
      </w: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Subarticle II, Article 7, Chapter 40, Title 27 of the 1976 Code is amended by adding:</w:t>
      </w:r>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w:t>
      </w:r>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27</w:t>
      </w:r>
      <w:r>
        <w:rPr>
          <w:rFonts w:eastAsia="Times New Roman" w:cs="Times New Roman"/>
          <w:szCs w:val="20"/>
        </w:rPr>
        <w:noBreakHyphen/>
        <w:t>40</w:t>
      </w:r>
      <w:r>
        <w:rPr>
          <w:rFonts w:eastAsia="Times New Roman" w:cs="Times New Roman"/>
          <w:szCs w:val="20"/>
        </w:rPr>
        <w:noBreakHyphen/>
        <w:t xml:space="preserve">810. Notwithstanding another provision of law, the execution of a judgment for ejectment may not occur until at least seven days lapse from the date on which the magistrate issued the order or, if the judgment is stayed, until at least seven days have lapsed from the date on which the order is lifted.  During the seven day period, the tenant may remove his personal property from the premises without interference from the landlord.” </w:t>
      </w: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27</w:t>
      </w:r>
      <w:r>
        <w:rPr>
          <w:rFonts w:eastAsia="Times New Roman" w:cs="Times New Roman"/>
          <w:szCs w:val="20"/>
        </w:rPr>
        <w:noBreakHyphen/>
        <w:t>40</w:t>
      </w:r>
      <w:r>
        <w:rPr>
          <w:rFonts w:eastAsia="Times New Roman" w:cs="Times New Roman"/>
          <w:szCs w:val="20"/>
        </w:rPr>
        <w:noBreakHyphen/>
        <w:t>710(D) of the 1976 Code is amended to read:</w:t>
      </w: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Personal property belonging to a tenant removed from a premises as a result of an eviction proceeding under this chapter which is placed on a public street or highway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removed by the appropriate municipal or county </w:t>
      </w:r>
      <w:r>
        <w:rPr>
          <w:rFonts w:eastAsia="Times New Roman" w:cs="Times New Roman"/>
          <w:strike/>
          <w:szCs w:val="20"/>
        </w:rPr>
        <w:t>officials</w:t>
      </w:r>
      <w:r>
        <w:rPr>
          <w:rFonts w:eastAsia="Times New Roman" w:cs="Times New Roman"/>
          <w:szCs w:val="20"/>
        </w:rPr>
        <w:t xml:space="preserve"> </w:t>
      </w:r>
      <w:r>
        <w:rPr>
          <w:rFonts w:eastAsia="Times New Roman" w:cs="Times New Roman"/>
          <w:szCs w:val="20"/>
          <w:u w:val="single"/>
        </w:rPr>
        <w:t>official</w:t>
      </w:r>
      <w:r>
        <w:rPr>
          <w:rFonts w:eastAsia="Times New Roman" w:cs="Times New Roman"/>
          <w:szCs w:val="20"/>
        </w:rPr>
        <w:t xml:space="preserve"> after a period of forty</w:t>
      </w:r>
      <w:r>
        <w:rPr>
          <w:rFonts w:eastAsia="Times New Roman" w:cs="Times New Roman"/>
          <w:szCs w:val="20"/>
        </w:rPr>
        <w:noBreakHyphen/>
        <w:t xml:space="preserve">eight hours, excluding Saturdays, Sundays, and holidays, and </w:t>
      </w:r>
      <w:r>
        <w:rPr>
          <w:rFonts w:eastAsia="Times New Roman" w:cs="Times New Roman"/>
          <w:strike/>
          <w:szCs w:val="20"/>
        </w:rPr>
        <w:t>may</w:t>
      </w:r>
      <w:r>
        <w:rPr>
          <w:rFonts w:eastAsia="Times New Roman" w:cs="Times New Roman"/>
          <w:szCs w:val="20"/>
        </w:rPr>
        <w:t xml:space="preserve"> also </w:t>
      </w:r>
      <w:r>
        <w:rPr>
          <w:rFonts w:eastAsia="Times New Roman" w:cs="Times New Roman"/>
          <w:szCs w:val="20"/>
          <w:u w:val="single"/>
        </w:rPr>
        <w:t>may</w:t>
      </w:r>
      <w:r>
        <w:rPr>
          <w:rFonts w:eastAsia="Times New Roman" w:cs="Times New Roman"/>
          <w:szCs w:val="20"/>
        </w:rPr>
        <w:t xml:space="preserve"> be removed by these officials in the normal course of debris or trash collection before or after a period of forty</w:t>
      </w:r>
      <w:r>
        <w:rPr>
          <w:rFonts w:eastAsia="Times New Roman" w:cs="Times New Roman"/>
          <w:szCs w:val="20"/>
        </w:rPr>
        <w:noBreakHyphen/>
        <w:t xml:space="preserve">eight hours.  </w:t>
      </w:r>
      <w:r>
        <w:rPr>
          <w:rFonts w:eastAsia="Times New Roman" w:cs="Times New Roman"/>
          <w:szCs w:val="20"/>
          <w:u w:val="single"/>
        </w:rPr>
        <w:t>The appropriate municipal or county official shall retain possession of the personal property in a secure location for thirty days following the removal, during which time the tenant may recover his personal property from the municipality or county.</w:t>
      </w:r>
      <w:r>
        <w:rPr>
          <w:rFonts w:eastAsia="Times New Roman" w:cs="Times New Roman"/>
          <w:szCs w:val="20"/>
        </w:rPr>
        <w:t xml:space="preserve">  If the premises is located in a municipality or county that does not collect trash or debris from the public highways, then after a period of forty</w:t>
      </w:r>
      <w:r>
        <w:rPr>
          <w:rFonts w:eastAsia="Times New Roman" w:cs="Times New Roman"/>
          <w:szCs w:val="20"/>
        </w:rPr>
        <w:noBreakHyphen/>
        <w:t>eight hours, the landlord may remove the personal property from the premises and dispose of it in the manner that trash or debris is normally disposed of in such municipalities or counties</w:t>
      </w:r>
      <w:r>
        <w:rPr>
          <w:rFonts w:eastAsia="Times New Roman" w:cs="Times New Roman"/>
          <w:szCs w:val="20"/>
          <w:u w:val="single"/>
        </w:rPr>
        <w:t>, provided the landlord must retain possession of the personal property in a secure location for thirty days, during which time the tenant may recover the personal property</w:t>
      </w:r>
      <w:r>
        <w:rPr>
          <w:rFonts w:eastAsia="Times New Roman" w:cs="Times New Roman"/>
          <w:szCs w:val="20"/>
        </w:rPr>
        <w:t xml:space="preserve">.  The notice of eviction </w:t>
      </w:r>
      <w:r>
        <w:rPr>
          <w:rFonts w:eastAsia="Times New Roman" w:cs="Times New Roman"/>
          <w:strike/>
          <w:szCs w:val="20"/>
        </w:rPr>
        <w:t>must</w:t>
      </w:r>
      <w:r>
        <w:rPr>
          <w:rFonts w:eastAsia="Times New Roman" w:cs="Times New Roman"/>
          <w:szCs w:val="20"/>
        </w:rPr>
        <w:t xml:space="preserve"> clearly </w:t>
      </w:r>
      <w:r>
        <w:rPr>
          <w:rFonts w:eastAsia="Times New Roman" w:cs="Times New Roman"/>
          <w:szCs w:val="20"/>
          <w:u w:val="single"/>
        </w:rPr>
        <w:t>must</w:t>
      </w:r>
      <w:r>
        <w:rPr>
          <w:rFonts w:eastAsia="Times New Roman" w:cs="Times New Roman"/>
          <w:szCs w:val="20"/>
        </w:rPr>
        <w:t xml:space="preserve"> inform the tenant of the provisions of this section.  The municipality or county and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its</w:t>
      </w:r>
      <w:r>
        <w:rPr>
          <w:rFonts w:eastAsia="Times New Roman" w:cs="Times New Roman"/>
          <w:szCs w:val="20"/>
        </w:rPr>
        <w:t xml:space="preserve"> appropriate </w:t>
      </w:r>
      <w:r>
        <w:rPr>
          <w:rFonts w:eastAsia="Times New Roman" w:cs="Times New Roman"/>
          <w:strike/>
          <w:szCs w:val="20"/>
        </w:rPr>
        <w:t>officials</w:t>
      </w:r>
      <w:r>
        <w:rPr>
          <w:rFonts w:eastAsia="Times New Roman" w:cs="Times New Roman"/>
          <w:szCs w:val="20"/>
        </w:rPr>
        <w:t xml:space="preserve"> </w:t>
      </w:r>
      <w:r>
        <w:rPr>
          <w:rFonts w:eastAsia="Times New Roman" w:cs="Times New Roman"/>
          <w:szCs w:val="20"/>
          <w:u w:val="single"/>
        </w:rPr>
        <w:t>official</w:t>
      </w:r>
      <w:r>
        <w:rPr>
          <w:rFonts w:eastAsia="Times New Roman" w:cs="Times New Roman"/>
          <w:szCs w:val="20"/>
        </w:rPr>
        <w:t xml:space="preserve"> or </w:t>
      </w:r>
      <w:r>
        <w:rPr>
          <w:rFonts w:eastAsia="Times New Roman" w:cs="Times New Roman"/>
          <w:strike/>
          <w:szCs w:val="20"/>
        </w:rPr>
        <w:t>employees thereof have</w:t>
      </w:r>
      <w:r>
        <w:rPr>
          <w:rFonts w:eastAsia="Times New Roman" w:cs="Times New Roman"/>
          <w:szCs w:val="20"/>
        </w:rPr>
        <w:t xml:space="preserve"> </w:t>
      </w:r>
      <w:r>
        <w:rPr>
          <w:rFonts w:eastAsia="Times New Roman" w:cs="Times New Roman"/>
          <w:szCs w:val="20"/>
          <w:u w:val="single"/>
        </w:rPr>
        <w:t>employee has</w:t>
      </w:r>
      <w:r>
        <w:rPr>
          <w:rFonts w:eastAsia="Times New Roman" w:cs="Times New Roman"/>
          <w:szCs w:val="20"/>
        </w:rPr>
        <w:t xml:space="preserve"> no liability </w:t>
      </w:r>
      <w:r>
        <w:rPr>
          <w:rFonts w:eastAsia="Times New Roman" w:cs="Times New Roman"/>
          <w:strike/>
          <w:szCs w:val="20"/>
        </w:rPr>
        <w:t>in regard</w:t>
      </w:r>
      <w:r>
        <w:rPr>
          <w:rFonts w:eastAsia="Times New Roman" w:cs="Times New Roman"/>
          <w:szCs w:val="20"/>
        </w:rPr>
        <w:t xml:space="preserve"> to the tenant if he is not informed in the notice of eviction of the provisions of this section.”</w:t>
      </w:r>
    </w:p>
    <w:p w:rsidR="0001129E" w:rsidRDefault="0001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01129E" w:rsidRDefault="00EF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1129E" w:rsidSect="0001129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29E" w:rsidRDefault="00EF1C81">
      <w:r>
        <w:separator/>
      </w:r>
    </w:p>
  </w:endnote>
  <w:endnote w:type="continuationSeparator" w:id="0">
    <w:p w:rsidR="0001129E" w:rsidRDefault="00EF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147C1D-64EA-4921-9F08-71EC534103DC}"/>
    <w:embedBold r:id="rId2" w:fontKey="{56A5032F-B897-4DA8-9775-A4598E3A01F4}"/>
  </w:font>
  <w:font w:name="Calibri">
    <w:panose1 w:val="020F0502020204030204"/>
    <w:charset w:val="00"/>
    <w:family w:val="swiss"/>
    <w:pitch w:val="variable"/>
    <w:sig w:usb0="E10002FF" w:usb1="4000ACFF" w:usb2="00000009" w:usb3="00000000" w:csb0="0000019F" w:csb1="00000000"/>
    <w:embedRegular r:id="rId3" w:fontKey="{43338B8D-3C4A-4390-8698-893A77E757A9}"/>
    <w:embedBold r:id="rId4" w:fontKey="{93A897E6-F183-4874-A9A2-6AF2F054A53F}"/>
  </w:font>
  <w:font w:name="Tahoma">
    <w:panose1 w:val="020B0604030504040204"/>
    <w:charset w:val="00"/>
    <w:family w:val="swiss"/>
    <w:pitch w:val="variable"/>
    <w:sig w:usb0="21002A87" w:usb1="80000000" w:usb2="00000008" w:usb3="00000000" w:csb0="000101FF" w:csb1="00000000"/>
    <w:embedRegular r:id="rId5" w:fontKey="{7524673C-CAF5-4EF5-9E50-D211FDF41E7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724260F-0E76-433C-9C09-D546FCE29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29E" w:rsidRDefault="00EF1C81">
    <w:pPr>
      <w:pStyle w:val="Footer"/>
      <w:tabs>
        <w:tab w:val="clear" w:pos="4680"/>
        <w:tab w:val="clear" w:pos="9360"/>
        <w:tab w:val="center" w:pos="2995"/>
      </w:tabs>
      <w:spacing w:before="120"/>
    </w:pPr>
    <w:r>
      <w:t>[51]</w:t>
    </w:r>
    <w:r>
      <w:tab/>
    </w:r>
    <w:r w:rsidR="003925A4">
      <w:fldChar w:fldCharType="begin"/>
    </w:r>
    <w:r w:rsidR="003925A4">
      <w:instrText xml:space="preserve"> PAGE  \* MERGEFORMAT </w:instrText>
    </w:r>
    <w:r w:rsidR="003925A4">
      <w:fldChar w:fldCharType="separate"/>
    </w:r>
    <w:r w:rsidR="003925A4">
      <w:rPr>
        <w:noProof/>
      </w:rPr>
      <w:t>1</w:t>
    </w:r>
    <w:r w:rsidR="003925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29E" w:rsidRDefault="00EF1C81">
      <w:r>
        <w:separator/>
      </w:r>
    </w:p>
  </w:footnote>
  <w:footnote w:type="continuationSeparator" w:id="0">
    <w:p w:rsidR="0001129E" w:rsidRDefault="00EF1C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1129E"/>
    <w:rsid w:val="0001129E"/>
    <w:rsid w:val="000C0B29"/>
    <w:rsid w:val="002E4977"/>
    <w:rsid w:val="003004D2"/>
    <w:rsid w:val="003925A4"/>
    <w:rsid w:val="00676F0D"/>
    <w:rsid w:val="00BC15B1"/>
    <w:rsid w:val="00EB001C"/>
    <w:rsid w:val="00EF1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CB4927-CAF5-415E-9530-7DD33D9F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1129E"/>
    <w:rPr>
      <w:szCs w:val="21"/>
    </w:rPr>
  </w:style>
  <w:style w:type="character" w:customStyle="1" w:styleId="PlainTextChar">
    <w:name w:val="Plain Text Char"/>
    <w:basedOn w:val="DefaultParagraphFont"/>
    <w:link w:val="PlainText"/>
    <w:uiPriority w:val="99"/>
    <w:rsid w:val="0001129E"/>
    <w:rPr>
      <w:szCs w:val="21"/>
    </w:rPr>
  </w:style>
  <w:style w:type="paragraph" w:styleId="BodyText">
    <w:name w:val="Body Text"/>
    <w:basedOn w:val="Normal"/>
    <w:link w:val="BodyTextChar"/>
    <w:uiPriority w:val="99"/>
    <w:locked/>
    <w:rsid w:val="0001129E"/>
  </w:style>
  <w:style w:type="character" w:customStyle="1" w:styleId="BodyTextChar">
    <w:name w:val="Body Text Char"/>
    <w:basedOn w:val="DefaultParagraphFont"/>
    <w:link w:val="BodyText"/>
    <w:uiPriority w:val="99"/>
    <w:rsid w:val="0001129E"/>
  </w:style>
  <w:style w:type="paragraph" w:styleId="BalloonText">
    <w:name w:val="Balloon Text"/>
    <w:next w:val="Normal"/>
    <w:link w:val="BalloonTextChar"/>
    <w:uiPriority w:val="99"/>
    <w:unhideWhenUsed/>
    <w:rsid w:val="0001129E"/>
    <w:rPr>
      <w:rFonts w:cs="Tahoma"/>
      <w:szCs w:val="16"/>
    </w:rPr>
  </w:style>
  <w:style w:type="character" w:customStyle="1" w:styleId="BalloonTextChar">
    <w:name w:val="Balloon Text Char"/>
    <w:basedOn w:val="DefaultParagraphFont"/>
    <w:link w:val="BalloonText"/>
    <w:uiPriority w:val="99"/>
    <w:rsid w:val="0001129E"/>
    <w:rPr>
      <w:rFonts w:cs="Tahoma"/>
      <w:szCs w:val="16"/>
    </w:rPr>
  </w:style>
  <w:style w:type="paragraph" w:styleId="NormalWeb">
    <w:name w:val="Normal (Web)"/>
    <w:basedOn w:val="Normal"/>
    <w:next w:val="Normal"/>
    <w:semiHidden/>
    <w:locked/>
    <w:rsid w:val="0001129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1129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1129E"/>
    <w:rPr>
      <w:rFonts w:eastAsia="Times New Roman" w:cs="Times New Roman"/>
      <w:szCs w:val="20"/>
    </w:rPr>
  </w:style>
  <w:style w:type="paragraph" w:styleId="Header">
    <w:name w:val="header"/>
    <w:basedOn w:val="Normal"/>
    <w:link w:val="HeaderChar"/>
    <w:uiPriority w:val="99"/>
    <w:semiHidden/>
    <w:unhideWhenUsed/>
    <w:locked/>
    <w:rsid w:val="0001129E"/>
    <w:pPr>
      <w:tabs>
        <w:tab w:val="center" w:pos="4680"/>
        <w:tab w:val="right" w:pos="9360"/>
      </w:tabs>
    </w:pPr>
  </w:style>
  <w:style w:type="character" w:customStyle="1" w:styleId="HeaderChar">
    <w:name w:val="Header Char"/>
    <w:basedOn w:val="DefaultParagraphFont"/>
    <w:link w:val="Header"/>
    <w:uiPriority w:val="99"/>
    <w:semiHidden/>
    <w:rsid w:val="0001129E"/>
  </w:style>
  <w:style w:type="character" w:styleId="LineNumber">
    <w:name w:val="line number"/>
    <w:basedOn w:val="DefaultParagraphFont"/>
    <w:uiPriority w:val="99"/>
    <w:semiHidden/>
    <w:unhideWhenUsed/>
    <w:locked/>
    <w:rsid w:val="0001129E"/>
  </w:style>
  <w:style w:type="character" w:styleId="Hyperlink">
    <w:name w:val="Hyperlink"/>
    <w:basedOn w:val="DefaultParagraphFont"/>
    <w:uiPriority w:val="99"/>
    <w:unhideWhenUsed/>
    <w:locked/>
    <w:rsid w:val="000112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613</Words>
  <Characters>3170</Characters>
  <Application>Microsoft Office Word</Application>
  <DocSecurity>0</DocSecurity>
  <Lines>105</Lines>
  <Paragraphs>28</Paragraphs>
  <ScaleCrop>false</ScaleCrop>
  <Company>Project Management</Company>
  <LinksUpToDate>false</LinksUpToDate>
  <CharactersWithSpaces>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 Execution of a judgment for ejectment - South Carolina Legislature Online</dc:title>
  <dc:subject/>
  <dc:creator>NSC</dc:creator>
  <cp:keywords/>
  <dc:description/>
  <cp:lastModifiedBy>N Cumfer</cp:lastModifiedBy>
  <cp:revision>13</cp:revision>
  <dcterms:created xsi:type="dcterms:W3CDTF">2008-12-10T19:39:00Z</dcterms:created>
  <dcterms:modified xsi:type="dcterms:W3CDTF">2014-11-24T14:52:00Z</dcterms:modified>
</cp:coreProperties>
</file>