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F89" w:rsidRDefault="004B5B90">
      <w:pPr>
        <w:widowControl w:val="0"/>
        <w:jc w:val="center"/>
      </w:pPr>
      <w:bookmarkStart w:id="0" w:name="_GoBack"/>
      <w:bookmarkEnd w:id="0"/>
      <w:r>
        <w:rPr>
          <w:b/>
        </w:rPr>
        <w:t>South Carolina General Assembly</w:t>
      </w:r>
    </w:p>
    <w:p w:rsidR="00F85F89" w:rsidRDefault="004B5B90">
      <w:pPr>
        <w:widowControl w:val="0"/>
        <w:jc w:val="center"/>
      </w:pPr>
      <w:r>
        <w:t>118th Session, 2009-2010</w:t>
      </w:r>
    </w:p>
    <w:p w:rsidR="00F85F89" w:rsidRDefault="00F85F89">
      <w:pPr>
        <w:widowControl w:val="0"/>
      </w:pPr>
    </w:p>
    <w:p w:rsidR="00F85F89" w:rsidRDefault="004B5B90">
      <w:pPr>
        <w:widowControl w:val="0"/>
        <w:rPr>
          <w:b/>
        </w:rPr>
      </w:pPr>
      <w:r>
        <w:rPr>
          <w:b/>
        </w:rPr>
        <w:t>S. 512</w:t>
      </w:r>
    </w:p>
    <w:p w:rsidR="00F85F89" w:rsidRDefault="00F85F89">
      <w:pPr>
        <w:widowControl w:val="0"/>
        <w:rPr>
          <w:b/>
        </w:rPr>
      </w:pPr>
    </w:p>
    <w:p w:rsidR="00F85F89" w:rsidRDefault="004B5B90">
      <w:pPr>
        <w:widowControl w:val="0"/>
      </w:pPr>
      <w:r>
        <w:rPr>
          <w:b/>
        </w:rPr>
        <w:t>STATUS INFORMATION</w:t>
      </w:r>
    </w:p>
    <w:p w:rsidR="00F85F89" w:rsidRDefault="00F85F89">
      <w:pPr>
        <w:widowControl w:val="0"/>
      </w:pPr>
    </w:p>
    <w:p w:rsidR="00F85F89" w:rsidRDefault="004B5B90">
      <w:pPr>
        <w:widowControl w:val="0"/>
      </w:pPr>
      <w:r>
        <w:t>General Bill</w:t>
      </w:r>
    </w:p>
    <w:p w:rsidR="00F85F89" w:rsidRDefault="004B5B90">
      <w:pPr>
        <w:widowControl w:val="0"/>
      </w:pPr>
      <w:r>
        <w:t>Sponsors: Senators Lourie, Anderson, Nicholson, Knotts, Cromer, Leventis and L. Martin</w:t>
      </w:r>
    </w:p>
    <w:p w:rsidR="00F85F89" w:rsidRDefault="004B5B90">
      <w:pPr>
        <w:widowControl w:val="0"/>
      </w:pPr>
      <w:r>
        <w:t>Document Path: l:\s-resmin\drafting\jl\010vawa.tcm.jl.docx</w:t>
      </w:r>
    </w:p>
    <w:p w:rsidR="00F85F89" w:rsidRDefault="004B5B90">
      <w:pPr>
        <w:widowControl w:val="0"/>
      </w:pPr>
      <w:r>
        <w:t>Companion/Similar bill(s): 3677</w:t>
      </w:r>
    </w:p>
    <w:p w:rsidR="00F85F89" w:rsidRDefault="00F85F89">
      <w:pPr>
        <w:widowControl w:val="0"/>
      </w:pPr>
    </w:p>
    <w:p w:rsidR="00F85F89" w:rsidRDefault="004B5B90">
      <w:pPr>
        <w:widowControl w:val="0"/>
      </w:pPr>
      <w:r>
        <w:t>Introduced in the Senate on March 3, 2009</w:t>
      </w:r>
    </w:p>
    <w:p w:rsidR="00F85F89" w:rsidRDefault="004B5B90">
      <w:pPr>
        <w:widowControl w:val="0"/>
      </w:pPr>
      <w:r>
        <w:t>Introduced in the House on April 22, 2009</w:t>
      </w:r>
    </w:p>
    <w:p w:rsidR="00F85F89" w:rsidRDefault="004B5B90">
      <w:pPr>
        <w:widowControl w:val="0"/>
      </w:pPr>
      <w:r>
        <w:t xml:space="preserve">Currently residing in the House Committee on </w:t>
      </w:r>
      <w:r>
        <w:rPr>
          <w:b/>
        </w:rPr>
        <w:t>Judiciary</w:t>
      </w:r>
    </w:p>
    <w:p w:rsidR="00F85F89" w:rsidRDefault="00F85F89">
      <w:pPr>
        <w:widowControl w:val="0"/>
      </w:pPr>
    </w:p>
    <w:p w:rsidR="00F85F89" w:rsidRDefault="004B5B90">
      <w:pPr>
        <w:widowControl w:val="0"/>
      </w:pPr>
      <w:r>
        <w:t>Summary: Violence Against Women Federal Compliance Act</w:t>
      </w:r>
    </w:p>
    <w:p w:rsidR="00F85F89" w:rsidRDefault="00F85F89">
      <w:pPr>
        <w:widowControl w:val="0"/>
      </w:pPr>
    </w:p>
    <w:p w:rsidR="00F85F89" w:rsidRDefault="00F85F89">
      <w:pPr>
        <w:widowControl w:val="0"/>
      </w:pPr>
    </w:p>
    <w:p w:rsidR="00F85F89" w:rsidRDefault="004B5B90">
      <w:pPr>
        <w:widowControl w:val="0"/>
        <w:tabs>
          <w:tab w:val="center" w:pos="590"/>
          <w:tab w:val="center" w:pos="1440"/>
          <w:tab w:val="left" w:pos="1872"/>
          <w:tab w:val="left" w:pos="9187"/>
        </w:tabs>
      </w:pPr>
      <w:r>
        <w:rPr>
          <w:b/>
        </w:rPr>
        <w:t>HISTORY OF LEGISLATIVE ACTIONS</w:t>
      </w:r>
    </w:p>
    <w:p w:rsidR="00F85F89" w:rsidRDefault="00F85F89">
      <w:pPr>
        <w:widowControl w:val="0"/>
        <w:tabs>
          <w:tab w:val="center" w:pos="590"/>
          <w:tab w:val="center" w:pos="1440"/>
          <w:tab w:val="left" w:pos="1872"/>
          <w:tab w:val="left" w:pos="9187"/>
        </w:tabs>
      </w:pPr>
    </w:p>
    <w:p w:rsidR="00F85F89" w:rsidRDefault="004B5B9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F85F89" w:rsidRDefault="004B5B90">
      <w:pPr>
        <w:widowControl w:val="0"/>
        <w:tabs>
          <w:tab w:val="right" w:pos="1008"/>
          <w:tab w:val="left" w:pos="1152"/>
          <w:tab w:val="left" w:pos="1872"/>
          <w:tab w:val="left" w:pos="9187"/>
        </w:tabs>
        <w:ind w:left="2088" w:hanging="2088"/>
      </w:pPr>
      <w:r>
        <w:tab/>
        <w:t>3/3/2009</w:t>
      </w:r>
      <w:r>
        <w:tab/>
        <w:t>Senate</w:t>
      </w:r>
      <w:r>
        <w:tab/>
        <w:t xml:space="preserve">Introduced and read first time </w:t>
      </w:r>
      <w:hyperlink r:id="rId6" w:history="1">
        <w:r w:rsidRPr="00062D22">
          <w:rPr>
            <w:rStyle w:val="Hyperlink"/>
          </w:rPr>
          <w:t>SJ</w:t>
        </w:r>
      </w:hyperlink>
      <w:r>
        <w:noBreakHyphen/>
        <w:t>8</w:t>
      </w:r>
    </w:p>
    <w:p w:rsidR="00F85F89" w:rsidRDefault="004B5B90">
      <w:pPr>
        <w:widowControl w:val="0"/>
        <w:tabs>
          <w:tab w:val="right" w:pos="1008"/>
          <w:tab w:val="left" w:pos="1152"/>
          <w:tab w:val="left" w:pos="1872"/>
          <w:tab w:val="left" w:pos="9187"/>
        </w:tabs>
        <w:ind w:left="2088" w:hanging="2088"/>
      </w:pPr>
      <w:r>
        <w:tab/>
        <w:t>3/3/2009</w:t>
      </w:r>
      <w:r>
        <w:tab/>
        <w:t>Senate</w:t>
      </w:r>
      <w:r>
        <w:tab/>
        <w:t xml:space="preserve">Referred to Committee on </w:t>
      </w:r>
      <w:r>
        <w:rPr>
          <w:b/>
        </w:rPr>
        <w:t>Judiciary</w:t>
      </w:r>
      <w:r>
        <w:t xml:space="preserve"> </w:t>
      </w:r>
      <w:hyperlink r:id="rId7" w:history="1">
        <w:r w:rsidRPr="00062D22">
          <w:rPr>
            <w:rStyle w:val="Hyperlink"/>
          </w:rPr>
          <w:t>SJ</w:t>
        </w:r>
      </w:hyperlink>
      <w:r>
        <w:noBreakHyphen/>
        <w:t>8</w:t>
      </w:r>
    </w:p>
    <w:p w:rsidR="00F85F89" w:rsidRDefault="004B5B90">
      <w:pPr>
        <w:widowControl w:val="0"/>
        <w:tabs>
          <w:tab w:val="right" w:pos="1008"/>
          <w:tab w:val="left" w:pos="1152"/>
          <w:tab w:val="left" w:pos="1872"/>
          <w:tab w:val="left" w:pos="9187"/>
        </w:tabs>
        <w:ind w:left="2088" w:hanging="2088"/>
      </w:pPr>
      <w:r>
        <w:tab/>
        <w:t>3/5/2009</w:t>
      </w:r>
      <w:r>
        <w:tab/>
        <w:t>Senate</w:t>
      </w:r>
      <w:r>
        <w:tab/>
        <w:t>Referred to Subcommittee: Knotts (ch), Massey, Coleman</w:t>
      </w:r>
    </w:p>
    <w:p w:rsidR="00F85F89" w:rsidRDefault="004B5B90">
      <w:pPr>
        <w:widowControl w:val="0"/>
        <w:tabs>
          <w:tab w:val="right" w:pos="1008"/>
          <w:tab w:val="left" w:pos="1152"/>
          <w:tab w:val="left" w:pos="1872"/>
          <w:tab w:val="left" w:pos="9187"/>
        </w:tabs>
        <w:ind w:left="2088" w:hanging="2088"/>
      </w:pPr>
      <w:r>
        <w:tab/>
        <w:t>4/15/2009</w:t>
      </w:r>
      <w:r>
        <w:tab/>
        <w:t>Senate</w:t>
      </w:r>
      <w:r>
        <w:tab/>
        <w:t xml:space="preserve">Committee report: Favorable with amendment </w:t>
      </w:r>
      <w:r>
        <w:rPr>
          <w:b/>
        </w:rPr>
        <w:t>Judiciary</w:t>
      </w:r>
    </w:p>
    <w:p w:rsidR="00F85F89" w:rsidRDefault="004B5B90">
      <w:pPr>
        <w:widowControl w:val="0"/>
        <w:tabs>
          <w:tab w:val="right" w:pos="1008"/>
          <w:tab w:val="left" w:pos="1152"/>
          <w:tab w:val="left" w:pos="1872"/>
          <w:tab w:val="left" w:pos="9187"/>
        </w:tabs>
        <w:ind w:left="2088" w:hanging="2088"/>
      </w:pPr>
      <w:r>
        <w:tab/>
        <w:t>4/16/2009</w:t>
      </w:r>
      <w:r>
        <w:tab/>
      </w:r>
      <w:r>
        <w:tab/>
        <w:t>Scrivener's error corrected</w:t>
      </w:r>
    </w:p>
    <w:p w:rsidR="00F85F89" w:rsidRDefault="004B5B90">
      <w:pPr>
        <w:widowControl w:val="0"/>
        <w:tabs>
          <w:tab w:val="right" w:pos="1008"/>
          <w:tab w:val="left" w:pos="1152"/>
          <w:tab w:val="left" w:pos="1872"/>
          <w:tab w:val="left" w:pos="9187"/>
        </w:tabs>
        <w:ind w:left="2088" w:hanging="2088"/>
      </w:pPr>
      <w:r>
        <w:tab/>
        <w:t>4/21/2009</w:t>
      </w:r>
      <w:r>
        <w:tab/>
        <w:t>Senate</w:t>
      </w:r>
      <w:r>
        <w:tab/>
        <w:t xml:space="preserve">Committee Amendment Adopted </w:t>
      </w:r>
      <w:hyperlink r:id="rId8" w:history="1">
        <w:r w:rsidRPr="00062D22">
          <w:rPr>
            <w:rStyle w:val="Hyperlink"/>
          </w:rPr>
          <w:t>SJ</w:t>
        </w:r>
      </w:hyperlink>
      <w:r>
        <w:noBreakHyphen/>
        <w:t>22</w:t>
      </w:r>
    </w:p>
    <w:p w:rsidR="00F85F89" w:rsidRDefault="004B5B90">
      <w:pPr>
        <w:widowControl w:val="0"/>
        <w:tabs>
          <w:tab w:val="right" w:pos="1008"/>
          <w:tab w:val="left" w:pos="1152"/>
          <w:tab w:val="left" w:pos="1872"/>
          <w:tab w:val="left" w:pos="9187"/>
        </w:tabs>
        <w:ind w:left="2088" w:hanging="2088"/>
      </w:pPr>
      <w:r>
        <w:tab/>
        <w:t>4/21/2009</w:t>
      </w:r>
      <w:r>
        <w:tab/>
        <w:t>Senate</w:t>
      </w:r>
      <w:r>
        <w:tab/>
        <w:t xml:space="preserve">Read second time </w:t>
      </w:r>
      <w:hyperlink r:id="rId9" w:history="1">
        <w:r w:rsidRPr="00062D22">
          <w:rPr>
            <w:rStyle w:val="Hyperlink"/>
          </w:rPr>
          <w:t>SJ</w:t>
        </w:r>
      </w:hyperlink>
      <w:r>
        <w:noBreakHyphen/>
        <w:t>22</w:t>
      </w:r>
    </w:p>
    <w:p w:rsidR="00F85F89" w:rsidRDefault="004B5B90">
      <w:pPr>
        <w:widowControl w:val="0"/>
        <w:tabs>
          <w:tab w:val="right" w:pos="1008"/>
          <w:tab w:val="left" w:pos="1152"/>
          <w:tab w:val="left" w:pos="1872"/>
          <w:tab w:val="left" w:pos="9187"/>
        </w:tabs>
        <w:ind w:left="2088" w:hanging="2088"/>
      </w:pPr>
      <w:r>
        <w:tab/>
        <w:t>4/22/2009</w:t>
      </w:r>
      <w:r>
        <w:tab/>
        <w:t>Senate</w:t>
      </w:r>
      <w:r>
        <w:tab/>
        <w:t xml:space="preserve">Read third time and sent to House </w:t>
      </w:r>
      <w:hyperlink r:id="rId10" w:history="1">
        <w:r w:rsidRPr="00062D22">
          <w:rPr>
            <w:rStyle w:val="Hyperlink"/>
          </w:rPr>
          <w:t>SJ</w:t>
        </w:r>
      </w:hyperlink>
      <w:r>
        <w:noBreakHyphen/>
        <w:t>17</w:t>
      </w:r>
    </w:p>
    <w:p w:rsidR="00F85F89" w:rsidRDefault="004B5B90">
      <w:pPr>
        <w:widowControl w:val="0"/>
        <w:tabs>
          <w:tab w:val="right" w:pos="1008"/>
          <w:tab w:val="left" w:pos="1152"/>
          <w:tab w:val="left" w:pos="1872"/>
          <w:tab w:val="left" w:pos="9187"/>
        </w:tabs>
        <w:ind w:left="2088" w:hanging="2088"/>
      </w:pPr>
      <w:r>
        <w:tab/>
        <w:t>4/22/2009</w:t>
      </w:r>
      <w:r>
        <w:tab/>
        <w:t>House</w:t>
      </w:r>
      <w:r>
        <w:tab/>
        <w:t xml:space="preserve">Introduced and read first time </w:t>
      </w:r>
      <w:hyperlink r:id="rId11" w:history="1">
        <w:r w:rsidRPr="00062D22">
          <w:rPr>
            <w:rStyle w:val="Hyperlink"/>
          </w:rPr>
          <w:t>HJ</w:t>
        </w:r>
      </w:hyperlink>
      <w:r>
        <w:noBreakHyphen/>
        <w:t>65</w:t>
      </w:r>
    </w:p>
    <w:p w:rsidR="00F85F89" w:rsidRDefault="004B5B90">
      <w:pPr>
        <w:widowControl w:val="0"/>
        <w:tabs>
          <w:tab w:val="right" w:pos="1008"/>
          <w:tab w:val="left" w:pos="1152"/>
          <w:tab w:val="left" w:pos="1872"/>
          <w:tab w:val="left" w:pos="9187"/>
        </w:tabs>
        <w:ind w:left="2088" w:hanging="2088"/>
      </w:pPr>
      <w:r>
        <w:tab/>
        <w:t>4/22/2009</w:t>
      </w:r>
      <w:r>
        <w:tab/>
        <w:t>House</w:t>
      </w:r>
      <w:r>
        <w:tab/>
        <w:t xml:space="preserve">Referred to Committee on </w:t>
      </w:r>
      <w:r>
        <w:rPr>
          <w:b/>
        </w:rPr>
        <w:t>Judiciary</w:t>
      </w:r>
      <w:r>
        <w:t xml:space="preserve"> </w:t>
      </w:r>
      <w:hyperlink r:id="rId12" w:history="1">
        <w:r w:rsidRPr="00062D22">
          <w:rPr>
            <w:rStyle w:val="Hyperlink"/>
          </w:rPr>
          <w:t>HJ</w:t>
        </w:r>
      </w:hyperlink>
      <w:r>
        <w:noBreakHyphen/>
        <w:t>66</w:t>
      </w:r>
    </w:p>
    <w:p w:rsidR="00F85F89" w:rsidRDefault="00F85F89">
      <w:pPr>
        <w:widowControl w:val="0"/>
        <w:tabs>
          <w:tab w:val="right" w:pos="1008"/>
          <w:tab w:val="left" w:pos="1152"/>
          <w:tab w:val="left" w:pos="1872"/>
          <w:tab w:val="left" w:pos="9187"/>
        </w:tabs>
        <w:ind w:left="2088" w:hanging="2088"/>
      </w:pPr>
    </w:p>
    <w:p w:rsidR="00F85F89" w:rsidRDefault="00F85F89">
      <w:pPr>
        <w:widowControl w:val="0"/>
        <w:tabs>
          <w:tab w:val="right" w:pos="1008"/>
          <w:tab w:val="left" w:pos="1152"/>
          <w:tab w:val="left" w:pos="1872"/>
          <w:tab w:val="left" w:pos="9187"/>
        </w:tabs>
        <w:ind w:left="2088" w:hanging="2088"/>
      </w:pPr>
    </w:p>
    <w:p w:rsidR="00F85F89" w:rsidRDefault="004B5B90">
      <w:pPr>
        <w:widowControl w:val="0"/>
      </w:pPr>
      <w:r>
        <w:rPr>
          <w:b/>
        </w:rPr>
        <w:t>VERSIONS OF THIS BILL</w:t>
      </w:r>
    </w:p>
    <w:p w:rsidR="00F85F89" w:rsidRDefault="00F85F89">
      <w:pPr>
        <w:widowControl w:val="0"/>
      </w:pPr>
    </w:p>
    <w:p w:rsidR="00F85F89" w:rsidRDefault="00CD110C">
      <w:pPr>
        <w:widowControl w:val="0"/>
      </w:pPr>
      <w:hyperlink r:id="rId13" w:history="1">
        <w:r w:rsidR="004B5B90">
          <w:rPr>
            <w:rStyle w:val="Hyperlink"/>
          </w:rPr>
          <w:t>3/3/2009</w:t>
        </w:r>
      </w:hyperlink>
    </w:p>
    <w:p w:rsidR="00F85F89" w:rsidRDefault="00CD110C">
      <w:hyperlink r:id="rId14" w:history="1">
        <w:r w:rsidR="004B5B90">
          <w:rPr>
            <w:rStyle w:val="Hyperlink"/>
          </w:rPr>
          <w:t>4/15/2009</w:t>
        </w:r>
      </w:hyperlink>
    </w:p>
    <w:p w:rsidR="00F85F89" w:rsidRDefault="00CD110C">
      <w:hyperlink r:id="rId15" w:history="1">
        <w:r w:rsidR="004B5B90">
          <w:rPr>
            <w:rStyle w:val="Hyperlink"/>
          </w:rPr>
          <w:t>4/16/2009</w:t>
        </w:r>
      </w:hyperlink>
    </w:p>
    <w:p w:rsidR="00F85F89" w:rsidRDefault="00CD110C">
      <w:hyperlink r:id="rId16" w:history="1">
        <w:r w:rsidR="004B5B90">
          <w:rPr>
            <w:rStyle w:val="Hyperlink"/>
          </w:rPr>
          <w:t>4/21/2009</w:t>
        </w:r>
      </w:hyperlink>
    </w:p>
    <w:p w:rsidR="00F85F89" w:rsidRDefault="00F85F89"/>
    <w:p w:rsidR="00F85F89" w:rsidRDefault="00F85F89">
      <w:pPr>
        <w:sectPr w:rsidR="00F85F89">
          <w:pgSz w:w="12240" w:h="15840" w:code="1"/>
          <w:pgMar w:top="1080" w:right="1440" w:bottom="1080" w:left="1440" w:header="720" w:footer="720" w:gutter="0"/>
          <w:cols w:space="720"/>
          <w:noEndnote/>
          <w:docGrid w:linePitch="360"/>
        </w:sect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2009</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right" w:pos="5933"/>
        </w:tabs>
        <w:suppressAutoHyphens/>
        <w:jc w:val="both"/>
        <w:rPr>
          <w:rFonts w:eastAsia="Times New Roman"/>
        </w:rPr>
      </w:pPr>
      <w:r>
        <w:rPr>
          <w:rFonts w:eastAsia="Times New Roman"/>
        </w:rPr>
        <w:tab/>
      </w:r>
      <w:r>
        <w:rPr>
          <w:rFonts w:eastAsia="Times New Roman"/>
          <w:b/>
          <w:sz w:val="36"/>
        </w:rPr>
        <w:t>S. 512</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Lourie, Anderson, Nicholson, Knotts, Cromer, Leventis and L. Martin</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right" w:pos="5933"/>
        </w:tabs>
        <w:suppressAutoHyphens/>
        <w:jc w:val="both"/>
        <w:rPr>
          <w:rFonts w:eastAsia="Times New Roman"/>
        </w:rPr>
      </w:pPr>
      <w:r>
        <w:rPr>
          <w:rFonts w:eastAsia="Times New Roman"/>
        </w:rPr>
        <w:t>S. Printed 4/21/09--S.</w:t>
      </w:r>
      <w:r>
        <w:rPr>
          <w:rFonts w:eastAsia="Times New Roman"/>
        </w:rPr>
        <w:tab/>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2009.</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F85F89">
      <w:pPr>
        <w:tabs>
          <w:tab w:val="left" w:pos="3024"/>
        </w:tabs>
        <w:suppressAutoHyphens/>
        <w:jc w:val="both"/>
        <w:rPr>
          <w:rFonts w:eastAsia="Times New Roman"/>
        </w:rPr>
      </w:pP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5F8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color w:val="000000" w:themeColor="text1"/>
          <w:u w:color="000000" w:themeColor="text1"/>
        </w:rPr>
        <w:t>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740 OF THE 1976 CODE, RELATING TO TESTING FOR HEPATITIS B AND HIV FOR OFFENDERS AND VICTIMS OF CERTAIN CRIMES, TO BRING THE PROVISIONS INTO COMPLIANCE WITH THE FEDERAL VIOLENCE AGAINST WOMEN ACT; TO AMEND CHAPTER 3, TITLE 16, BY ADDING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750, RELATING TO REQUIRING VICTIMS OF CERTAIN CRIMES TO SUBMIT TO POLYGRAPH EXAMINATIONS, TO MANDATE THE INVESTIGATIVE AND PROSECUTORIAL PROCEDURES OF CERTAIN CRIMES IN SOUTH CAROLINA COMPLY WITH THE FEDERAL VIOLENCE AGAINST WOMEN ACT; 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1350, RELATING COST OF MEDICOLEGAL EXAM FOR VICTIMS OF CERTAIN CRIMES, TO PREVENT THE VICTIM OF CERTAIN CRIMES FROM BEARING THE COST OF THE EXAM AS REQUIRED BY THE FEDERAL VIOLENCE AGAINST WOMEN ACT; TO AMEND SECTION 20</w:t>
      </w:r>
      <w:r>
        <w:rPr>
          <w:rFonts w:eastAsia="Times New Roman"/>
          <w:color w:val="000000" w:themeColor="text1"/>
          <w:u w:color="000000" w:themeColor="text1"/>
        </w:rPr>
        <w:noBreakHyphen/>
        <w:t>4</w:t>
      </w:r>
      <w:r>
        <w:rPr>
          <w:rFonts w:eastAsia="Times New Roman"/>
          <w:color w:val="000000" w:themeColor="text1"/>
          <w:u w:color="000000" w:themeColor="text1"/>
        </w:rPr>
        <w:noBreakHyphen/>
        <w:t>60, RELATING TO THE CONTENT OF ORDERS OF PROTECTION, TO BRING THE PROVISIONS INTO COMPLIANCE WITH THE FEDERAL VIOLENCE AGAINST WOMEN ACT; TO AMEND CHAPTER 25, TITLE 16 OF THE 1976 CODE, BY ADDING SECTION 16</w:t>
      </w:r>
      <w:r>
        <w:rPr>
          <w:rFonts w:eastAsia="Times New Roman"/>
          <w:color w:val="000000" w:themeColor="text1"/>
          <w:u w:color="000000" w:themeColor="text1"/>
        </w:rPr>
        <w:noBreakHyphen/>
        <w:t>25</w:t>
      </w:r>
      <w:r>
        <w:rPr>
          <w:rFonts w:eastAsia="Times New Roman"/>
          <w:color w:val="000000" w:themeColor="text1"/>
          <w:u w:color="000000" w:themeColor="text1"/>
        </w:rPr>
        <w:noBreakHyphen/>
        <w:t>30, RELATING TO OFFENDERS CONVICTED OF CERTAIN CRIMES, TO REQUIRE NOTIFICATION OF FEDERAL LAW BE PROVIDED UPON CONVICTION AS REQUIRED BY THE FEDERAL VIOLENCE AGAINST WOMEN ACT; AND 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1770, RELATING TO THE CONTENT OF RESTRAINING ORDERS, TO BRING THE PROVISIONS INTO COMPLIANCE WITH THE FEDERAL VIOLENCE AGAINST WOMEN ACT.</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r>
        <w:rPr>
          <w:rFonts w:eastAsia="Times New Roman"/>
          <w:color w:val="000000" w:themeColor="text1"/>
          <w:u w:color="000000" w:themeColor="text1"/>
        </w:rPr>
        <w:tab/>
        <w:t>Amend Title To Conform</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This act may be cited as the “Violence Against Women Federal Compliance Act” and is intended to bring South Carolina into compliance with the federal Violence Against Women Act.</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w:t>
      </w:r>
      <w:r>
        <w:rPr>
          <w:rFonts w:eastAsia="Times New Roman"/>
        </w:rPr>
        <w:noBreakHyphen/>
        <w:t>3</w:t>
      </w:r>
      <w:r>
        <w:rPr>
          <w:rFonts w:eastAsia="Times New Roman"/>
        </w:rPr>
        <w:noBreakHyphen/>
        <w:t>740(A) of the 1976 Code is amended to read:</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16</w:t>
      </w:r>
      <w:r>
        <w:rPr>
          <w:rFonts w:eastAsia="Times New Roman"/>
        </w:rPr>
        <w:noBreakHyphen/>
        <w:t>3</w:t>
      </w:r>
      <w:r>
        <w:rPr>
          <w:rFonts w:eastAsia="Times New Roman"/>
        </w:rPr>
        <w:noBreakHyphen/>
        <w:t>740.</w:t>
      </w:r>
      <w:r>
        <w:rPr>
          <w:rFonts w:eastAsia="Times New Roman"/>
        </w:rPr>
        <w:tab/>
      </w:r>
      <w:r>
        <w:rPr>
          <w:rFonts w:eastAsia="Times New Roman"/>
        </w:rPr>
        <w:tab/>
      </w:r>
      <w:r>
        <w:rPr>
          <w:rFonts w:eastAsia="Times New Roman"/>
          <w:szCs w:val="24"/>
        </w:rPr>
        <w:t>(A)</w:t>
      </w:r>
      <w:r>
        <w:rPr>
          <w:rFonts w:eastAsia="Times New Roman"/>
          <w:szCs w:val="24"/>
        </w:rPr>
        <w:tab/>
        <w:t>For purposes of this section:</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‘Body fluid’ means blood, amniotic fluid, pericardial fluid, pleural fluid, synovial fluid, cerebrospinal fluid, semen or vaginal secretions, or any body fluid visibly contaminated with blood.</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‘HIV’ means the human immunodeficiency virus.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‘Offender’ includes </w:t>
      </w:r>
      <w:r>
        <w:rPr>
          <w:rFonts w:eastAsia="Times New Roman"/>
          <w:strike/>
          <w:szCs w:val="24"/>
        </w:rPr>
        <w:t>a person under seventeen years of age</w:t>
      </w:r>
      <w:r>
        <w:rPr>
          <w:rFonts w:eastAsia="Times New Roman"/>
          <w:szCs w:val="24"/>
        </w:rPr>
        <w:t xml:space="preserve"> </w:t>
      </w:r>
      <w:r>
        <w:rPr>
          <w:rFonts w:eastAsia="Times New Roman"/>
          <w:szCs w:val="24"/>
          <w:u w:val="single"/>
        </w:rPr>
        <w:t>adults and juveniles</w:t>
      </w:r>
      <w:r>
        <w:rPr>
          <w:rFonts w:eastAsia="Times New Roman"/>
          <w:szCs w:val="24"/>
        </w:rPr>
        <w:t xml:space="preserve">.” </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SECTION</w:t>
      </w:r>
      <w:r>
        <w:rPr>
          <w:rFonts w:eastAsia="Times New Roman"/>
        </w:rPr>
        <w:tab/>
        <w:t>3.</w:t>
      </w:r>
      <w:r>
        <w:rPr>
          <w:rFonts w:eastAsia="Times New Roman"/>
        </w:rPr>
        <w:tab/>
        <w:t>Section 16</w:t>
      </w:r>
      <w:r>
        <w:rPr>
          <w:rFonts w:eastAsia="Times New Roman"/>
        </w:rPr>
        <w:noBreakHyphen/>
        <w:t>3</w:t>
      </w:r>
      <w:r>
        <w:rPr>
          <w:rFonts w:eastAsia="Times New Roman"/>
        </w:rPr>
        <w:noBreakHyphen/>
        <w:t>740(C) of the 1976 Code is amended to read:</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 xml:space="preserve">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rFonts w:eastAsia="Times New Roman"/>
          <w:strike/>
          <w:szCs w:val="24"/>
        </w:rPr>
        <w:t>If the tests are performed prior to conviction or adjudication, the results of the tests must be reported only to the solicitor who obtained the court order.</w:t>
      </w:r>
      <w:r>
        <w:rPr>
          <w:rFonts w:eastAsia="Times New Roman"/>
          <w:szCs w:val="24"/>
        </w:rPr>
        <w:t xml:space="preserve">  The solicitor shall notify the following persons of the tests results: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the victim or the legal guardian of a victim who is a minor or is mentally retarded or mentally incapacitated;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the victim’s attorney;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the offender and a juvenile offender’s parent or guardian; and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 xml:space="preserve">the offender’s attorney.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The results of the tests shall be provided to the designated recipients with the following disclaimer:  ‘The tests were conducted in a medically approved manner, but tests cannot determine infection by Hepatitis B or HIV</w:t>
      </w:r>
      <w:r>
        <w:rPr>
          <w:rFonts w:eastAsia="Times New Roman"/>
        </w:rPr>
        <w:t xml:space="preserve"> </w:t>
      </w:r>
      <w:r>
        <w:rPr>
          <w:rFonts w:eastAsia="Times New Roman"/>
          <w:szCs w:val="24"/>
        </w:rPr>
        <w:t>with absolute accuracy.  Additionally, the testing does not determine exposure to</w:t>
      </w:r>
      <w:r>
        <w:rPr>
          <w:rFonts w:eastAsia="Times New Roman"/>
          <w:szCs w:val="24"/>
          <w:u w:val="single"/>
        </w:rPr>
        <w:t>,</w:t>
      </w:r>
      <w:r>
        <w:rPr>
          <w:rFonts w:eastAsia="Times New Roman"/>
          <w:szCs w:val="24"/>
        </w:rPr>
        <w:t xml:space="preserve"> or infection</w:t>
      </w:r>
      <w:r>
        <w:rPr>
          <w:rFonts w:eastAsia="Times New Roman"/>
          <w:szCs w:val="24"/>
          <w:u w:val="single"/>
        </w:rPr>
        <w:t>,</w:t>
      </w:r>
      <w:r>
        <w:rPr>
          <w:rFonts w:eastAsia="Times New Roman"/>
          <w:szCs w:val="24"/>
        </w:rPr>
        <w:t xml:space="preserve"> by other sexually transmitted diseases.  Persons receiving the tests results should continue to monitor their own health, seek retesting in approximately six months, and should consult a physician as appropriate’.</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rFonts w:eastAsia="Times New Roman"/>
          <w:strike/>
          <w:szCs w:val="24"/>
        </w:rPr>
        <w:t xml:space="preserve"> also</w:t>
      </w:r>
      <w:r>
        <w:rPr>
          <w:rFonts w:eastAsia="Times New Roman"/>
          <w:szCs w:val="24"/>
        </w:rPr>
        <w:t xml:space="preserve"> provide </w:t>
      </w:r>
      <w:r>
        <w:rPr>
          <w:rFonts w:eastAsia="Times New Roman"/>
          <w:strike/>
          <w:szCs w:val="24"/>
        </w:rPr>
        <w:t>testing and</w:t>
      </w:r>
      <w:r>
        <w:rPr>
          <w:rFonts w:eastAsia="Times New Roman"/>
          <w:szCs w:val="24"/>
        </w:rPr>
        <w:t xml:space="preserve"> counseling for the victim</w:t>
      </w:r>
      <w:r>
        <w:rPr>
          <w:rFonts w:eastAsia="Times New Roman"/>
          <w:szCs w:val="24"/>
          <w:u w:val="single"/>
        </w:rPr>
        <w:t xml:space="preserve">, </w:t>
      </w:r>
      <w:r>
        <w:rPr>
          <w:rFonts w:eastAsia="Times New Roman"/>
          <w:u w:val="single"/>
        </w:rPr>
        <w:t>advise the victim of available medical treatment options</w:t>
      </w:r>
      <w:r>
        <w:rPr>
          <w:rFonts w:eastAsia="Times New Roman"/>
          <w:szCs w:val="24"/>
        </w:rPr>
        <w:t xml:space="preserve">, </w:t>
      </w:r>
      <w:r>
        <w:rPr>
          <w:rFonts w:eastAsia="Times New Roman"/>
          <w:strike/>
          <w:szCs w:val="24"/>
        </w:rPr>
        <w:t>at the victim’s request and referral</w:t>
      </w:r>
      <w:r>
        <w:rPr>
          <w:rFonts w:eastAsia="Times New Roman"/>
          <w:szCs w:val="24"/>
        </w:rPr>
        <w:t xml:space="preserve"> </w:t>
      </w:r>
      <w:r>
        <w:rPr>
          <w:rFonts w:eastAsia="Times New Roman"/>
          <w:szCs w:val="24"/>
          <w:u w:val="single"/>
        </w:rPr>
        <w:t>refer the victim to</w:t>
      </w:r>
      <w:r>
        <w:rPr>
          <w:rFonts w:eastAsia="Times New Roman"/>
          <w:szCs w:val="24"/>
        </w:rPr>
        <w:t xml:space="preserve"> </w:t>
      </w:r>
      <w:r>
        <w:rPr>
          <w:rFonts w:eastAsia="Times New Roman"/>
          <w:strike/>
          <w:szCs w:val="24"/>
        </w:rPr>
        <w:t>for</w:t>
      </w:r>
      <w:r>
        <w:rPr>
          <w:rFonts w:eastAsia="Times New Roman"/>
          <w:szCs w:val="24"/>
        </w:rPr>
        <w:t xml:space="preserve"> appropriate health care and support services</w:t>
      </w:r>
      <w:r>
        <w:rPr>
          <w:rFonts w:eastAsia="Times New Roman"/>
          <w:szCs w:val="24"/>
          <w:u w:val="single"/>
        </w:rPr>
        <w:t>, and, at the request of the victim or the legal guardian of a victim, test the victim for HIV and Hepatitis B</w:t>
      </w:r>
      <w:r>
        <w:rPr>
          <w:rFonts w:eastAsia="Times New Roman"/>
          <w:u w:val="single"/>
        </w:rPr>
        <w:t xml:space="preserve"> and provide post</w:t>
      </w:r>
      <w:r>
        <w:rPr>
          <w:rFonts w:eastAsia="Times New Roman"/>
          <w:u w:val="single"/>
        </w:rPr>
        <w:noBreakHyphen/>
        <w:t>testing counseling to the victim</w:t>
      </w:r>
      <w:r>
        <w:rPr>
          <w:rFonts w:eastAsia="Times New Roman"/>
          <w:szCs w:val="24"/>
        </w:rPr>
        <w:t>.”</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Chapter 3, Title 16 of the 1976 Code is amended by adding:</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w:t>
      </w:r>
      <w:r>
        <w:rPr>
          <w:rFonts w:eastAsia="Times New Roman"/>
        </w:rPr>
        <w:noBreakHyphen/>
        <w:t>3</w:t>
      </w:r>
      <w:r>
        <w:rPr>
          <w:rFonts w:eastAsia="Times New Roman"/>
        </w:rPr>
        <w:noBreakHyphen/>
        <w:t>750.</w:t>
      </w:r>
      <w:r>
        <w:rPr>
          <w:rFonts w:eastAsia="Times New Roman"/>
        </w:rPr>
        <w:tab/>
      </w:r>
      <w:r>
        <w:rPr>
          <w:rFonts w:eastAsia="Times New Roman"/>
        </w:rPr>
        <w:tab/>
        <w:t>A law enforcement officer, prosecuting officer, or other governmental official may request that the victim of an alleged criminal sexual conduct offense as defined under federal or South Carolina law submit to a polygraph examination or other truth telling device as part of the investigation, charging, or prosecution of the offense if the credibility of the victim is at issue; however, the officer or official must not require the victim to submit to a polygraph examination or other truth telling device as a condition for proceeding with the investigation, charging, or prosecution of the offense.”</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16</w:t>
      </w:r>
      <w:r>
        <w:rPr>
          <w:rFonts w:eastAsia="Times New Roman"/>
        </w:rPr>
        <w:noBreakHyphen/>
        <w:t>3</w:t>
      </w:r>
      <w:r>
        <w:rPr>
          <w:rFonts w:eastAsia="Times New Roman"/>
        </w:rPr>
        <w:noBreakHyphen/>
        <w:t>1350(A) and (B) of the 1976 Code is amended to read:</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w:t>
      </w:r>
      <w:r>
        <w:rPr>
          <w:rFonts w:eastAsia="Times New Roman"/>
          <w:szCs w:val="24"/>
        </w:rPr>
        <w:t>(A)</w:t>
      </w:r>
      <w:r>
        <w:rPr>
          <w:rFonts w:eastAsia="Times New Roman"/>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rFonts w:eastAsia="Times New Roman"/>
          <w:strike/>
          <w:szCs w:val="24"/>
        </w:rPr>
        <w:t>if the victim has filed an incident report with a law enforcement agency</w:t>
      </w:r>
      <w:r>
        <w:rPr>
          <w:rFonts w:eastAsia="Times New Roman"/>
          <w:szCs w:val="24"/>
        </w:rPr>
        <w:t xml:space="preserve">.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rFonts w:eastAsia="Times New Roman"/>
          <w:strike/>
          <w:szCs w:val="24"/>
        </w:rPr>
        <w:t xml:space="preserve"> venereal disease</w:t>
      </w:r>
      <w:r>
        <w:rPr>
          <w:rFonts w:eastAsia="Times New Roman"/>
          <w:szCs w:val="24"/>
        </w:rPr>
        <w:t xml:space="preserve"> </w:t>
      </w:r>
      <w:r>
        <w:rPr>
          <w:rFonts w:eastAsia="Times New Roman"/>
          <w:szCs w:val="24"/>
          <w:u w:val="single"/>
        </w:rPr>
        <w:t>sexually transmitted diseases</w:t>
      </w:r>
      <w:r>
        <w:rPr>
          <w:rFonts w:eastAsia="Times New Roman"/>
          <w:szCs w:val="24"/>
        </w:rPr>
        <w:t>,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above.”</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20</w:t>
      </w:r>
      <w:r>
        <w:rPr>
          <w:rFonts w:eastAsia="Times New Roman"/>
        </w:rPr>
        <w:noBreakHyphen/>
        <w:t>4</w:t>
      </w:r>
      <w:r>
        <w:rPr>
          <w:rFonts w:eastAsia="Times New Roman"/>
        </w:rPr>
        <w:noBreakHyphen/>
        <w:t>60(B) of the 1976 Code is amended to read:</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 xml:space="preserve">Every order of protection issued pursuant to this chapter shall conspicuously bear the following language: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‘Violation of this order is a criminal offense punishable by thirty days in jail or a fine of two hundred dollars or may constitute contempt of court punishable by up to one year in jail and/or a fine not to exceed fifteen hundred dollars</w:t>
      </w:r>
      <w:r>
        <w:rPr>
          <w:rFonts w:eastAsia="Times New Roman"/>
          <w:strike/>
          <w:szCs w:val="24"/>
        </w:rPr>
        <w:t>.</w:t>
      </w:r>
      <w:r>
        <w:rPr>
          <w:rFonts w:eastAsia="Times New Roman"/>
          <w:szCs w:val="24"/>
        </w:rPr>
        <w:t xml:space="preserve">’; </w:t>
      </w:r>
      <w:r>
        <w:rPr>
          <w:rFonts w:eastAsia="Times New Roman"/>
          <w:strike/>
          <w:szCs w:val="24"/>
        </w:rPr>
        <w:t>and</w:t>
      </w:r>
      <w:r>
        <w:rPr>
          <w:rFonts w:eastAsia="Times New Roman"/>
          <w:szCs w:val="24"/>
        </w:rPr>
        <w:t xml:space="preserve">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rPr>
        <w:tab/>
        <w:t>(2)</w:t>
      </w:r>
      <w:r>
        <w:rPr>
          <w:rFonts w:eastAsia="Times New Roman"/>
          <w:szCs w:val="24"/>
        </w:rPr>
        <w:tab/>
        <w:t>‘Pursuant to Section 16</w:t>
      </w:r>
      <w:r>
        <w:rPr>
          <w:rFonts w:eastAsia="Times New Roman"/>
          <w:szCs w:val="24"/>
        </w:rPr>
        <w:noBreakHyphen/>
        <w:t>25</w:t>
      </w:r>
      <w:r>
        <w:rPr>
          <w:rFonts w:eastAsia="Times New Roman"/>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rFonts w:eastAsia="Times New Roman"/>
          <w:strike/>
          <w:szCs w:val="24"/>
        </w:rPr>
        <w:t>.</w:t>
      </w:r>
      <w:r>
        <w:rPr>
          <w:rFonts w:eastAsia="Times New Roman"/>
          <w:szCs w:val="24"/>
        </w:rPr>
        <w:t>’</w:t>
      </w:r>
      <w:r>
        <w:rPr>
          <w:rFonts w:eastAsia="Times New Roman"/>
          <w:szCs w:val="24"/>
          <w:u w:val="single"/>
        </w:rPr>
        <w:t>; and</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‘Pursuant to 18 USC Section 922, it is unlawful for a person who is subject to an order of protection to </w:t>
      </w:r>
      <w:r>
        <w:rPr>
          <w:rFonts w:eastAsia="Times New Roman"/>
          <w:szCs w:val="20"/>
          <w:u w:val="single"/>
        </w:rPr>
        <w:t>ship, transport, possess, or receive a firearm or ammunition’.</w:t>
      </w:r>
      <w:r>
        <w:rPr>
          <w:rFonts w:eastAsia="Times New Roman"/>
          <w:szCs w:val="20"/>
        </w:rPr>
        <w:t>”</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Chapter 25, Title 16 of the 1976 Code is amended by adding:</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ab/>
        <w:t>“Section 16</w:t>
      </w:r>
      <w:r>
        <w:rPr>
          <w:rFonts w:eastAsia="Times New Roman"/>
        </w:rPr>
        <w:noBreakHyphen/>
        <w:t>25</w:t>
      </w:r>
      <w:r>
        <w:rPr>
          <w:rFonts w:eastAsia="Times New Roman"/>
        </w:rPr>
        <w:noBreakHyphen/>
        <w:t>30.</w:t>
      </w:r>
      <w:r>
        <w:rPr>
          <w:rFonts w:eastAsia="Times New Roman"/>
        </w:rPr>
        <w:tab/>
      </w:r>
      <w:r>
        <w:t>At the time of conviction, the court must deliver, to any person convicted of violating the provisions of Section 16</w:t>
      </w:r>
      <w:r>
        <w:noBreakHyphen/>
        <w:t>25</w:t>
      </w:r>
      <w:r>
        <w:noBreakHyphen/>
        <w:t>20 or 16</w:t>
      </w:r>
      <w:r>
        <w:noBreakHyphen/>
        <w:t>25</w:t>
      </w:r>
      <w:r>
        <w:noBreakHyphen/>
        <w:t>65, a written form which conspicuously bears the following language:  ‘Pursuant to 18 USC Section 922, i</w:t>
      </w:r>
      <w:r>
        <w:rPr>
          <w:rFonts w:eastAsia="Times New Roman"/>
          <w:szCs w:val="20"/>
        </w:rPr>
        <w:t>t is unlawful for a person convicted of a violation of Section 16</w:t>
      </w:r>
      <w:r>
        <w:rPr>
          <w:rFonts w:eastAsia="Times New Roman"/>
          <w:szCs w:val="20"/>
        </w:rPr>
        <w:noBreakHyphen/>
        <w:t>25</w:t>
      </w:r>
      <w:r>
        <w:rPr>
          <w:rFonts w:eastAsia="Times New Roman"/>
          <w:szCs w:val="20"/>
        </w:rPr>
        <w:noBreakHyphen/>
        <w:t>20 or 16</w:t>
      </w:r>
      <w:r>
        <w:rPr>
          <w:rFonts w:eastAsia="Times New Roman"/>
          <w:szCs w:val="20"/>
        </w:rPr>
        <w:noBreakHyphen/>
        <w:t>25</w:t>
      </w:r>
      <w:r>
        <w:rPr>
          <w:rFonts w:eastAsia="Times New Roman"/>
          <w:szCs w:val="20"/>
        </w:rPr>
        <w:noBreakHyphen/>
        <w:t>65 to ship, transport, possess, or receive a firearm or ammunition’.”</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8.</w:t>
      </w:r>
      <w:r>
        <w:rPr>
          <w:rFonts w:eastAsia="Times New Roman"/>
          <w:szCs w:val="20"/>
        </w:rPr>
        <w:tab/>
        <w:t>Section 16</w:t>
      </w:r>
      <w:r>
        <w:rPr>
          <w:rFonts w:eastAsia="Times New Roman"/>
          <w:szCs w:val="20"/>
        </w:rPr>
        <w:noBreakHyphen/>
        <w:t>3</w:t>
      </w:r>
      <w:r>
        <w:rPr>
          <w:rFonts w:eastAsia="Times New Roman"/>
          <w:szCs w:val="20"/>
        </w:rPr>
        <w:noBreakHyphen/>
        <w:t>1770 of the 1976 Code is amended to read:</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Pr>
          <w:rFonts w:eastAsia="Times New Roman"/>
          <w:szCs w:val="24"/>
        </w:rPr>
        <w:tab/>
        <w:t>“Section 16</w:t>
      </w:r>
      <w:r>
        <w:rPr>
          <w:rFonts w:eastAsia="Times New Roman"/>
          <w:szCs w:val="24"/>
        </w:rPr>
        <w:noBreakHyphen/>
        <w:t>3</w:t>
      </w:r>
      <w:r>
        <w:rPr>
          <w:rFonts w:eastAsia="Times New Roman"/>
          <w:szCs w:val="24"/>
        </w:rPr>
        <w:noBreakHyphen/>
        <w:t>1770.</w:t>
      </w:r>
      <w:r>
        <w:rPr>
          <w:rFonts w:eastAsia="Times New Roman"/>
          <w:szCs w:val="24"/>
        </w:rPr>
        <w:tab/>
        <w:t>(A)</w:t>
      </w:r>
      <w:r>
        <w:rPr>
          <w:rFonts w:eastAsia="Times New Roman"/>
          <w:szCs w:val="24"/>
        </w:rPr>
        <w:tab/>
        <w:t xml:space="preserve">A temporary restraining order granted without notice must be endorsed with the date and hour of issuance and entered of record with the magistrates court.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 xml:space="preserve">The terms of the restraining order must protect the plaintiff and may include temporarily enjoining the defendant from: </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abusing, threatening to abuse, or molesting the plaintiff or members of the plaintiff’s family;</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entering or attempting to enter the plaintiff’s place of residence, employment, education, or other location; and</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communicating or attempting to communicate with the plaintiff in a way that would violate the provisions of this article.</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A restraining order issued pursuant to this article conspicuously must bear the following language:</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‘Violation of this order is a criminal offense punishable by thirty days in jail, a fine of five hundred dollars, or both</w:t>
      </w:r>
      <w:r>
        <w:rPr>
          <w:rFonts w:eastAsia="Times New Roman"/>
          <w:strike/>
          <w:szCs w:val="24"/>
        </w:rPr>
        <w:t>.</w:t>
      </w:r>
      <w:r>
        <w:rPr>
          <w:rFonts w:eastAsia="Times New Roman"/>
          <w:szCs w:val="24"/>
        </w:rPr>
        <w:t xml:space="preserve">’; </w:t>
      </w:r>
      <w:r>
        <w:rPr>
          <w:rFonts w:eastAsia="Times New Roman"/>
          <w:strike/>
          <w:szCs w:val="24"/>
        </w:rPr>
        <w:t>and</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t>(2)</w:t>
      </w:r>
      <w:r>
        <w:rPr>
          <w:rFonts w:eastAsia="Times New Roman"/>
          <w:szCs w:val="24"/>
        </w:rPr>
        <w:tab/>
        <w:t>‘Pursuant to Section 16</w:t>
      </w:r>
      <w:r>
        <w:rPr>
          <w:rFonts w:eastAsia="Times New Roman"/>
          <w:szCs w:val="24"/>
        </w:rPr>
        <w:noBreakHyphen/>
        <w:t>25</w:t>
      </w:r>
      <w:r>
        <w:rPr>
          <w:rFonts w:eastAsia="Times New Roman"/>
          <w:szCs w:val="24"/>
        </w:rPr>
        <w:noBreakHyphen/>
        <w:t>125,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rFonts w:eastAsia="Times New Roman"/>
          <w:strike/>
          <w:szCs w:val="24"/>
        </w:rPr>
        <w:t>.</w:t>
      </w:r>
      <w:r>
        <w:rPr>
          <w:rFonts w:eastAsia="Times New Roman"/>
          <w:szCs w:val="24"/>
        </w:rPr>
        <w:t>’</w:t>
      </w:r>
      <w:r>
        <w:rPr>
          <w:rFonts w:eastAsia="Times New Roman"/>
          <w:strike/>
          <w:szCs w:val="24"/>
        </w:rPr>
        <w:t>.</w:t>
      </w:r>
      <w:r>
        <w:rPr>
          <w:rFonts w:eastAsia="Times New Roman"/>
          <w:szCs w:val="24"/>
          <w:u w:val="single"/>
        </w:rPr>
        <w:t>; and</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Pursuant to 18 USC Section 922, it is unlawful for a person who is subject to a restraining order to </w:t>
      </w:r>
      <w:r>
        <w:rPr>
          <w:rFonts w:eastAsia="Times New Roman"/>
          <w:szCs w:val="20"/>
          <w:u w:val="single"/>
        </w:rPr>
        <w:t>ship, transport, possess, or receive a firearm or ammunition if the order:</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(a)</w:t>
      </w:r>
      <w:r>
        <w:rPr>
          <w:rFonts w:eastAsia="Times New Roman"/>
          <w:szCs w:val="20"/>
        </w:rPr>
        <w:tab/>
      </w:r>
      <w:r>
        <w:rPr>
          <w:rFonts w:eastAsia="Times New Roman"/>
          <w:szCs w:val="20"/>
          <w:u w:val="single"/>
        </w:rPr>
        <w:t>was issued after a hearing of which such person received actual notice and had an opportunity to participate;</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(c)</w:t>
      </w:r>
      <w:r>
        <w:rPr>
          <w:rFonts w:eastAsia="Times New Roman"/>
          <w:szCs w:val="20"/>
        </w:rPr>
        <w:tab/>
      </w:r>
      <w:r>
        <w:rPr>
          <w:rFonts w:eastAsia="Times New Roman"/>
          <w:szCs w:val="20"/>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t>(D)</w:t>
      </w:r>
      <w:r>
        <w:rPr>
          <w:rFonts w:eastAsia="Times New Roman"/>
          <w:szCs w:val="24"/>
        </w:rPr>
        <w:tab/>
        <w:t>A restraining order issued by a court may not contain the social security number of a party to the order and must contain as little identifying information as is necessary of the party it seeks to protect.”</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9.</w:t>
      </w:r>
      <w:r>
        <w:rPr>
          <w:rFonts w:eastAsia="Times New Roman"/>
        </w:rPr>
        <w:tab/>
      </w:r>
      <w:r>
        <w:rPr>
          <w:rFonts w:eastAsia="Times New Roman"/>
          <w:szCs w:val="20"/>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85F89" w:rsidRDefault="004B5B90">
      <w:pPr>
        <w:tabs>
          <w:tab w:val="left" w:pos="216"/>
          <w:tab w:val="left" w:pos="432"/>
          <w:tab w:val="left" w:pos="648"/>
          <w:tab w:val="left" w:pos="864"/>
          <w:tab w:val="left" w:pos="1080"/>
          <w:tab w:val="left" w:pos="1296"/>
          <w:tab w:val="left" w:pos="162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10.</w:t>
      </w:r>
      <w:r>
        <w:rPr>
          <w:rFonts w:eastAsia="Times New Roman"/>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This act takes effect upon approval by the Governor.</w:t>
      </w:r>
    </w:p>
    <w:p w:rsidR="00F85F89" w:rsidRDefault="004B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5F89" w:rsidRDefault="00F8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85F89" w:rsidSect="00F85F8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F89" w:rsidRDefault="004B5B90">
      <w:r>
        <w:separator/>
      </w:r>
    </w:p>
  </w:endnote>
  <w:endnote w:type="continuationSeparator" w:id="0">
    <w:p w:rsidR="00F85F89" w:rsidRDefault="004B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01A4CE-63B9-4450-9A27-F726DD5D2AA7}"/>
    <w:embedBold r:id="rId2" w:fontKey="{C32352E0-5C76-43CD-80A0-BD8EA406635B}"/>
  </w:font>
  <w:font w:name="Calibri">
    <w:panose1 w:val="020F0502020204030204"/>
    <w:charset w:val="00"/>
    <w:family w:val="swiss"/>
    <w:pitch w:val="variable"/>
    <w:sig w:usb0="E10002FF" w:usb1="4000ACFF" w:usb2="00000009" w:usb3="00000000" w:csb0="0000019F" w:csb1="00000000"/>
    <w:embedRegular r:id="rId3" w:fontKey="{ABCFD9B9-2FDB-4A76-B92F-32E6D740E1F1}"/>
    <w:embedBold r:id="rId4" w:fontKey="{0BEF973F-B838-46F8-AE27-E5A0296EF6D4}"/>
  </w:font>
  <w:font w:name="Tahoma">
    <w:panose1 w:val="020B0604030504040204"/>
    <w:charset w:val="00"/>
    <w:family w:val="swiss"/>
    <w:pitch w:val="variable"/>
    <w:sig w:usb0="21002A87" w:usb1="80000000" w:usb2="00000008" w:usb3="00000000" w:csb0="000101FF" w:csb1="00000000"/>
    <w:embedRegular r:id="rId5" w:fontKey="{48F4B83C-9712-4AFF-9A03-0B6BDBEC825B}"/>
  </w:font>
  <w:font w:name="Cambria">
    <w:panose1 w:val="02040503050406030204"/>
    <w:charset w:val="00"/>
    <w:family w:val="roman"/>
    <w:pitch w:val="variable"/>
    <w:sig w:usb0="E00002FF" w:usb1="400004FF" w:usb2="00000000" w:usb3="00000000" w:csb0="0000019F" w:csb1="00000000"/>
    <w:embedRegular r:id="rId6" w:fontKey="{40B9B4CD-D5A0-4001-81C7-78717FAA5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F89" w:rsidRDefault="004B5B90">
    <w:pPr>
      <w:pStyle w:val="Footer"/>
      <w:tabs>
        <w:tab w:val="clear" w:pos="4680"/>
        <w:tab w:val="clear" w:pos="9360"/>
        <w:tab w:val="center" w:pos="2995"/>
      </w:tabs>
      <w:spacing w:before="120"/>
    </w:pPr>
    <w:r>
      <w:t>[512-</w:t>
    </w:r>
    <w:r w:rsidR="00CD110C">
      <w:fldChar w:fldCharType="begin"/>
    </w:r>
    <w:r w:rsidR="00CD110C">
      <w:instrText xml:space="preserve"> PAGE  \* MERGEFORMAT </w:instrText>
    </w:r>
    <w:r w:rsidR="00CD110C">
      <w:fldChar w:fldCharType="separate"/>
    </w:r>
    <w:r w:rsidR="00CD110C">
      <w:rPr>
        <w:noProof/>
      </w:rPr>
      <w:t>1</w:t>
    </w:r>
    <w:r w:rsidR="00CD110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F89" w:rsidRDefault="004B5B90">
    <w:pPr>
      <w:pStyle w:val="Footer"/>
      <w:tabs>
        <w:tab w:val="clear" w:pos="4680"/>
        <w:tab w:val="clear" w:pos="9360"/>
        <w:tab w:val="center" w:pos="2995"/>
      </w:tabs>
      <w:spacing w:before="120"/>
    </w:pPr>
    <w:r>
      <w:t>[512]</w:t>
    </w:r>
    <w:r>
      <w:tab/>
    </w:r>
    <w:r w:rsidR="00CD110C">
      <w:fldChar w:fldCharType="begin"/>
    </w:r>
    <w:r w:rsidR="00CD110C">
      <w:instrText xml:space="preserve"> PAGE  \* MERGEFORMAT </w:instrText>
    </w:r>
    <w:r w:rsidR="00CD110C">
      <w:fldChar w:fldCharType="separate"/>
    </w:r>
    <w:r>
      <w:rPr>
        <w:noProof/>
      </w:rPr>
      <w:t>7</w:t>
    </w:r>
    <w:r w:rsidR="00CD11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F89" w:rsidRDefault="004B5B90">
      <w:r>
        <w:separator/>
      </w:r>
    </w:p>
  </w:footnote>
  <w:footnote w:type="continuationSeparator" w:id="0">
    <w:p w:rsidR="00F85F89" w:rsidRDefault="004B5B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2"/>
  </w:compat>
  <w:docVars>
    <w:docVar w:name="clipname" w:val="010VAWA.TCM.JL"/>
    <w:docVar w:name="CoverAttorneyInitials" w:val="TCM"/>
    <w:docVar w:name="CoverAttorneyLastName" w:val="Miles"/>
    <w:docVar w:name="CoverBillType" w:val="b"/>
    <w:docVar w:name="CoverSenator" w:val="JL"/>
    <w:docVar w:name="dvBillNumber" w:val="512"/>
    <w:docVar w:name="dvBillNumberPrefix" w:val="S. "/>
    <w:docVar w:name="dvOriginalBody" w:val="Senate"/>
    <w:docVar w:name="fulldraftpath" w:val="L:\S-RESMIN\DRAFTING\JL\010VAWA.TCM.JL.DOCX"/>
    <w:docVar w:name="NameofBody" w:val="S"/>
    <w:docVar w:name="vgroup2" w:val="S-RESMIN"/>
  </w:docVars>
  <w:rsids>
    <w:rsidRoot w:val="00F85F89"/>
    <w:rsid w:val="00062D22"/>
    <w:rsid w:val="00401191"/>
    <w:rsid w:val="004B5B90"/>
    <w:rsid w:val="0075343F"/>
    <w:rsid w:val="00936FB6"/>
    <w:rsid w:val="00CD110C"/>
    <w:rsid w:val="00F85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oNotEmbedSmartTags/>
  <w:decimalSymbol w:val="."/>
  <w:listSeparator w:val=","/>
  <w15:docId w15:val="{D2F865FA-7C3F-49FA-9EDC-FAE19CC8F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F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85F89"/>
    <w:pPr>
      <w:tabs>
        <w:tab w:val="center" w:pos="4680"/>
        <w:tab w:val="right" w:pos="9360"/>
      </w:tabs>
    </w:pPr>
  </w:style>
  <w:style w:type="character" w:customStyle="1" w:styleId="FooterChar">
    <w:name w:val="Footer Char"/>
    <w:basedOn w:val="DefaultParagraphFont"/>
    <w:link w:val="Footer"/>
    <w:uiPriority w:val="99"/>
    <w:semiHidden/>
    <w:rsid w:val="00F85F89"/>
  </w:style>
  <w:style w:type="character" w:styleId="PageNumber">
    <w:name w:val="page number"/>
    <w:basedOn w:val="DefaultParagraphFont"/>
    <w:uiPriority w:val="99"/>
    <w:semiHidden/>
    <w:unhideWhenUsed/>
    <w:rsid w:val="00F85F89"/>
  </w:style>
  <w:style w:type="character" w:styleId="LineNumber">
    <w:name w:val="line number"/>
    <w:basedOn w:val="DefaultParagraphFont"/>
    <w:uiPriority w:val="99"/>
    <w:semiHidden/>
    <w:unhideWhenUsed/>
    <w:rsid w:val="00F85F89"/>
  </w:style>
  <w:style w:type="paragraph" w:styleId="Header">
    <w:name w:val="header"/>
    <w:basedOn w:val="Normal"/>
    <w:link w:val="HeaderChar"/>
    <w:uiPriority w:val="99"/>
    <w:semiHidden/>
    <w:unhideWhenUsed/>
    <w:rsid w:val="00F85F89"/>
    <w:pPr>
      <w:tabs>
        <w:tab w:val="center" w:pos="4680"/>
        <w:tab w:val="right" w:pos="9360"/>
      </w:tabs>
    </w:pPr>
  </w:style>
  <w:style w:type="character" w:customStyle="1" w:styleId="HeaderChar">
    <w:name w:val="Header Char"/>
    <w:basedOn w:val="DefaultParagraphFont"/>
    <w:link w:val="Header"/>
    <w:uiPriority w:val="99"/>
    <w:semiHidden/>
    <w:rsid w:val="00F85F89"/>
  </w:style>
  <w:style w:type="paragraph" w:customStyle="1" w:styleId="BillDots">
    <w:name w:val="BillDots"/>
    <w:basedOn w:val="Normal"/>
    <w:qFormat/>
    <w:rsid w:val="00F85F8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85F89"/>
    <w:pPr>
      <w:tabs>
        <w:tab w:val="right" w:pos="5904"/>
      </w:tabs>
    </w:pPr>
  </w:style>
  <w:style w:type="paragraph" w:styleId="BalloonText">
    <w:name w:val="Balloon Text"/>
    <w:basedOn w:val="Normal"/>
    <w:link w:val="BalloonTextChar"/>
    <w:uiPriority w:val="99"/>
    <w:semiHidden/>
    <w:unhideWhenUsed/>
    <w:rsid w:val="00F85F89"/>
    <w:rPr>
      <w:rFonts w:ascii="Tahoma" w:hAnsi="Tahoma" w:cs="Tahoma"/>
      <w:sz w:val="16"/>
      <w:szCs w:val="16"/>
    </w:rPr>
  </w:style>
  <w:style w:type="character" w:customStyle="1" w:styleId="BalloonTextChar">
    <w:name w:val="Balloon Text Char"/>
    <w:basedOn w:val="DefaultParagraphFont"/>
    <w:link w:val="BalloonText"/>
    <w:uiPriority w:val="99"/>
    <w:semiHidden/>
    <w:rsid w:val="00F85F89"/>
    <w:rPr>
      <w:rFonts w:ascii="Tahoma" w:hAnsi="Tahoma" w:cs="Tahoma"/>
      <w:sz w:val="16"/>
      <w:szCs w:val="16"/>
    </w:rPr>
  </w:style>
  <w:style w:type="character" w:styleId="Hyperlink">
    <w:name w:val="Hyperlink"/>
    <w:basedOn w:val="DefaultParagraphFont"/>
    <w:uiPriority w:val="99"/>
    <w:unhideWhenUsed/>
    <w:rsid w:val="00F85F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1-09.docx" TargetMode="External"/><Relationship Id="rId13" Type="http://schemas.openxmlformats.org/officeDocument/2006/relationships/hyperlink" Target="file:///p:\pprever\2009-10\512_20090303.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3-03-09.docx" TargetMode="External"/><Relationship Id="rId12" Type="http://schemas.openxmlformats.org/officeDocument/2006/relationships/hyperlink" Target="file:///h:\HJ%20Archive\2009\04-22-09.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09-10\512_20090421.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09\03-03-09.docx" TargetMode="External"/><Relationship Id="rId11" Type="http://schemas.openxmlformats.org/officeDocument/2006/relationships/hyperlink" Target="file:///h:\HJ%20Archive\2009\04-22-09.docx" TargetMode="External"/><Relationship Id="rId5" Type="http://schemas.openxmlformats.org/officeDocument/2006/relationships/endnotes" Target="endnotes.xml"/><Relationship Id="rId15" Type="http://schemas.openxmlformats.org/officeDocument/2006/relationships/hyperlink" Target="file:///p:\pprever\2009-10\512_20090416.docx" TargetMode="External"/><Relationship Id="rId10" Type="http://schemas.openxmlformats.org/officeDocument/2006/relationships/hyperlink" Target="file:///h:\SJ%20Archive\2009\04-22-09.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09\04-21-09.docx" TargetMode="External"/><Relationship Id="rId14" Type="http://schemas.openxmlformats.org/officeDocument/2006/relationships/hyperlink" Target="file:///p:\pprever\2009-10\512_2009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2385</Words>
  <Characters>12604</Characters>
  <Application>Microsoft Office Word</Application>
  <DocSecurity>0</DocSecurity>
  <Lines>335</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512: Violence Against Women Federal Compliance Act - South Carolina Legislature Online</dc:title>
  <dc:subject/>
  <dc:creator>TEMMILES</dc:creator>
  <cp:keywords/>
  <dc:description/>
  <cp:lastModifiedBy>N Cumfer</cp:lastModifiedBy>
  <cp:revision>12</cp:revision>
  <cp:lastPrinted>2009-02-17T21:15:00Z</cp:lastPrinted>
  <dcterms:created xsi:type="dcterms:W3CDTF">2009-04-21T17:59:00Z</dcterms:created>
  <dcterms:modified xsi:type="dcterms:W3CDTF">2014-11-24T15:01:00Z</dcterms:modified>
</cp:coreProperties>
</file>