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D6F" w:rsidRDefault="00B37218">
      <w:pPr>
        <w:widowControl w:val="0"/>
        <w:jc w:val="center"/>
      </w:pPr>
      <w:bookmarkStart w:id="0" w:name="_GoBack"/>
      <w:bookmarkEnd w:id="0"/>
      <w:r>
        <w:rPr>
          <w:b/>
        </w:rPr>
        <w:t>South Carolina General Assembly</w:t>
      </w:r>
    </w:p>
    <w:p w:rsidR="00955D6F" w:rsidRDefault="00B37218">
      <w:pPr>
        <w:widowControl w:val="0"/>
        <w:jc w:val="center"/>
      </w:pPr>
      <w:r>
        <w:t>118th Session, 2009-2010</w:t>
      </w:r>
    </w:p>
    <w:p w:rsidR="00955D6F" w:rsidRDefault="00955D6F">
      <w:pPr>
        <w:widowControl w:val="0"/>
      </w:pPr>
    </w:p>
    <w:p w:rsidR="00955D6F" w:rsidRDefault="00B37218">
      <w:pPr>
        <w:widowControl w:val="0"/>
        <w:rPr>
          <w:b/>
        </w:rPr>
      </w:pPr>
      <w:r>
        <w:rPr>
          <w:b/>
        </w:rPr>
        <w:t>S. 612</w:t>
      </w:r>
    </w:p>
    <w:p w:rsidR="00955D6F" w:rsidRDefault="00955D6F">
      <w:pPr>
        <w:widowControl w:val="0"/>
        <w:rPr>
          <w:b/>
        </w:rPr>
      </w:pPr>
    </w:p>
    <w:p w:rsidR="00955D6F" w:rsidRDefault="00B37218">
      <w:pPr>
        <w:widowControl w:val="0"/>
      </w:pPr>
      <w:r>
        <w:rPr>
          <w:b/>
        </w:rPr>
        <w:t>STATUS INFORMATION</w:t>
      </w:r>
    </w:p>
    <w:p w:rsidR="00955D6F" w:rsidRDefault="00955D6F">
      <w:pPr>
        <w:widowControl w:val="0"/>
      </w:pPr>
    </w:p>
    <w:p w:rsidR="00955D6F" w:rsidRDefault="00B37218">
      <w:pPr>
        <w:widowControl w:val="0"/>
      </w:pPr>
      <w:r>
        <w:t>General Bill</w:t>
      </w:r>
    </w:p>
    <w:p w:rsidR="00955D6F" w:rsidRDefault="00B37218">
      <w:pPr>
        <w:widowControl w:val="0"/>
      </w:pPr>
      <w:r>
        <w:t>Sponsors: Senators Setzler and O'Dell</w:t>
      </w:r>
    </w:p>
    <w:p w:rsidR="00955D6F" w:rsidRDefault="00B37218">
      <w:pPr>
        <w:widowControl w:val="0"/>
      </w:pPr>
      <w:r>
        <w:t>Document Path: l:\s-resmin\drafting\ns\007fble.tcm.ns.docx</w:t>
      </w:r>
    </w:p>
    <w:p w:rsidR="00955D6F" w:rsidRDefault="00B37218">
      <w:pPr>
        <w:widowControl w:val="0"/>
      </w:pPr>
      <w:r>
        <w:t>Companion/Similar bill(s): 3707</w:t>
      </w:r>
    </w:p>
    <w:p w:rsidR="00955D6F" w:rsidRDefault="00955D6F">
      <w:pPr>
        <w:widowControl w:val="0"/>
      </w:pPr>
    </w:p>
    <w:p w:rsidR="00EE00F2" w:rsidRDefault="00EE00F2">
      <w:pPr>
        <w:widowControl w:val="0"/>
      </w:pPr>
      <w:r>
        <w:t>Introduced in the Senate on March 25, 2009</w:t>
      </w:r>
    </w:p>
    <w:p w:rsidR="00EE00F2" w:rsidRDefault="00EE00F2">
      <w:pPr>
        <w:widowControl w:val="0"/>
      </w:pPr>
      <w:r>
        <w:t>Last Amended on February 25, 2010</w:t>
      </w:r>
    </w:p>
    <w:p w:rsidR="00EE00F2" w:rsidRDefault="00EE00F2">
      <w:pPr>
        <w:widowControl w:val="0"/>
      </w:pPr>
      <w:r>
        <w:t>Currently residing in the Senate</w:t>
      </w:r>
    </w:p>
    <w:p w:rsidR="00EE00F2" w:rsidRDefault="00EE00F2">
      <w:pPr>
        <w:widowControl w:val="0"/>
      </w:pPr>
    </w:p>
    <w:p w:rsidR="00955D6F" w:rsidRDefault="00B37218">
      <w:pPr>
        <w:widowControl w:val="0"/>
      </w:pPr>
      <w:r>
        <w:t>Summary: Motor fuel terminals</w:t>
      </w:r>
    </w:p>
    <w:p w:rsidR="00955D6F" w:rsidRDefault="00955D6F">
      <w:pPr>
        <w:widowControl w:val="0"/>
      </w:pPr>
    </w:p>
    <w:p w:rsidR="00955D6F" w:rsidRDefault="00955D6F">
      <w:pPr>
        <w:widowControl w:val="0"/>
      </w:pPr>
    </w:p>
    <w:p w:rsidR="00955D6F" w:rsidRDefault="00B37218">
      <w:pPr>
        <w:widowControl w:val="0"/>
        <w:tabs>
          <w:tab w:val="center" w:pos="590"/>
          <w:tab w:val="center" w:pos="1440"/>
          <w:tab w:val="left" w:pos="1872"/>
          <w:tab w:val="left" w:pos="9187"/>
        </w:tabs>
      </w:pPr>
      <w:r>
        <w:rPr>
          <w:b/>
        </w:rPr>
        <w:t>HISTORY OF LEGISLATIVE ACTIONS</w:t>
      </w:r>
    </w:p>
    <w:p w:rsidR="00955D6F" w:rsidRDefault="00955D6F">
      <w:pPr>
        <w:widowControl w:val="0"/>
        <w:tabs>
          <w:tab w:val="center" w:pos="590"/>
          <w:tab w:val="center" w:pos="1440"/>
          <w:tab w:val="left" w:pos="1872"/>
          <w:tab w:val="left" w:pos="9187"/>
        </w:tabs>
      </w:pPr>
    </w:p>
    <w:p w:rsidR="00955D6F" w:rsidRDefault="00B3721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E00FE" w:rsidRDefault="001E00FE" w:rsidP="001E00FE">
      <w:pPr>
        <w:widowControl w:val="0"/>
        <w:tabs>
          <w:tab w:val="right" w:pos="1008"/>
          <w:tab w:val="left" w:pos="1152"/>
          <w:tab w:val="left" w:pos="1872"/>
          <w:tab w:val="left" w:pos="9187"/>
        </w:tabs>
        <w:ind w:left="2088" w:hanging="2088"/>
      </w:pPr>
      <w:r>
        <w:tab/>
        <w:t>3/25/2009</w:t>
      </w:r>
      <w:r>
        <w:tab/>
        <w:t>Senate</w:t>
      </w:r>
      <w:r>
        <w:tab/>
      </w:r>
      <w:r w:rsidRPr="00E143EB">
        <w:t xml:space="preserve">Introduced and read first time </w:t>
      </w:r>
      <w:hyperlink r:id="rId6" w:history="1">
        <w:r w:rsidRPr="00A40ACC">
          <w:rPr>
            <w:rStyle w:val="Hyperlink"/>
          </w:rPr>
          <w:t>SJ</w:t>
        </w:r>
      </w:hyperlink>
      <w:r>
        <w:noBreakHyphen/>
      </w:r>
      <w:r w:rsidRPr="00E143EB">
        <w:t>3</w:t>
      </w:r>
    </w:p>
    <w:p w:rsidR="001E00FE" w:rsidRDefault="001E00FE" w:rsidP="001E00FE">
      <w:pPr>
        <w:widowControl w:val="0"/>
        <w:tabs>
          <w:tab w:val="right" w:pos="1008"/>
          <w:tab w:val="left" w:pos="1152"/>
          <w:tab w:val="left" w:pos="1872"/>
          <w:tab w:val="left" w:pos="9187"/>
        </w:tabs>
        <w:ind w:left="2088" w:hanging="2088"/>
      </w:pPr>
      <w:r>
        <w:tab/>
        <w:t>3/25/2009</w:t>
      </w:r>
      <w:r>
        <w:tab/>
        <w:t>Senate</w:t>
      </w:r>
      <w:r>
        <w:tab/>
      </w:r>
      <w:r w:rsidRPr="00E143EB">
        <w:t>Referred to Commi</w:t>
      </w:r>
      <w:r>
        <w:t xml:space="preserve">ttee on </w:t>
      </w:r>
      <w:r w:rsidRPr="00E143EB">
        <w:rPr>
          <w:b/>
        </w:rPr>
        <w:t>Agriculture and Natural Resources</w:t>
      </w:r>
      <w:r w:rsidRPr="00E143EB">
        <w:t xml:space="preserve"> </w:t>
      </w:r>
      <w:hyperlink r:id="rId7" w:history="1">
        <w:r w:rsidRPr="00A40ACC">
          <w:rPr>
            <w:rStyle w:val="Hyperlink"/>
          </w:rPr>
          <w:t>SJ</w:t>
        </w:r>
      </w:hyperlink>
      <w:r>
        <w:noBreakHyphen/>
      </w:r>
      <w:r w:rsidRPr="00E143EB">
        <w:t>3</w:t>
      </w:r>
    </w:p>
    <w:p w:rsidR="001E00FE" w:rsidRDefault="001E00FE" w:rsidP="001E00FE">
      <w:pPr>
        <w:widowControl w:val="0"/>
        <w:tabs>
          <w:tab w:val="right" w:pos="1008"/>
          <w:tab w:val="left" w:pos="1152"/>
          <w:tab w:val="left" w:pos="1872"/>
          <w:tab w:val="left" w:pos="9187"/>
        </w:tabs>
        <w:ind w:left="2088" w:hanging="2088"/>
      </w:pPr>
      <w:r>
        <w:tab/>
        <w:t>4/29/2009</w:t>
      </w:r>
      <w:r>
        <w:tab/>
        <w:t>Senate</w:t>
      </w:r>
      <w:r>
        <w:tab/>
      </w:r>
      <w:r w:rsidRPr="00E143EB">
        <w:t>Committee report: Fav</w:t>
      </w:r>
      <w:r>
        <w:t xml:space="preserve">orable with amendment </w:t>
      </w:r>
      <w:r w:rsidRPr="00E143EB">
        <w:rPr>
          <w:b/>
        </w:rPr>
        <w:t>Agriculture and Natural Resources</w:t>
      </w:r>
      <w:r w:rsidRPr="00E143EB">
        <w:t xml:space="preserve"> </w:t>
      </w:r>
      <w:hyperlink r:id="rId8" w:history="1">
        <w:r w:rsidRPr="00A40ACC">
          <w:rPr>
            <w:rStyle w:val="Hyperlink"/>
          </w:rPr>
          <w:t>SJ</w:t>
        </w:r>
      </w:hyperlink>
      <w:r>
        <w:noBreakHyphen/>
      </w:r>
      <w:r w:rsidRPr="00E143EB">
        <w:t>6</w:t>
      </w:r>
    </w:p>
    <w:p w:rsidR="001E00FE" w:rsidRDefault="001E00FE" w:rsidP="001E00FE">
      <w:pPr>
        <w:widowControl w:val="0"/>
        <w:tabs>
          <w:tab w:val="right" w:pos="1008"/>
          <w:tab w:val="left" w:pos="1152"/>
          <w:tab w:val="left" w:pos="1872"/>
          <w:tab w:val="left" w:pos="9187"/>
        </w:tabs>
        <w:ind w:left="2088" w:hanging="2088"/>
      </w:pPr>
      <w:r>
        <w:tab/>
        <w:t>2/25/2010</w:t>
      </w:r>
      <w:r>
        <w:tab/>
        <w:t>Senate</w:t>
      </w:r>
      <w:r>
        <w:tab/>
      </w:r>
      <w:r w:rsidRPr="00E143EB">
        <w:t xml:space="preserve">Committee Amendment Adopted </w:t>
      </w:r>
      <w:hyperlink r:id="rId9" w:history="1">
        <w:r w:rsidRPr="00A40ACC">
          <w:rPr>
            <w:rStyle w:val="Hyperlink"/>
          </w:rPr>
          <w:t>SJ</w:t>
        </w:r>
      </w:hyperlink>
      <w:r>
        <w:noBreakHyphen/>
      </w:r>
      <w:r w:rsidRPr="00E143EB">
        <w:t>51</w:t>
      </w:r>
    </w:p>
    <w:p w:rsidR="001E00FE" w:rsidRDefault="001E00FE" w:rsidP="001E00FE">
      <w:pPr>
        <w:widowControl w:val="0"/>
        <w:tabs>
          <w:tab w:val="right" w:pos="1008"/>
          <w:tab w:val="left" w:pos="1152"/>
          <w:tab w:val="left" w:pos="1872"/>
          <w:tab w:val="left" w:pos="9187"/>
        </w:tabs>
        <w:ind w:left="2088" w:hanging="2088"/>
      </w:pPr>
      <w:r>
        <w:tab/>
        <w:t>2/25/2010</w:t>
      </w:r>
      <w:r>
        <w:tab/>
        <w:t>Senate</w:t>
      </w:r>
      <w:r>
        <w:tab/>
      </w:r>
      <w:r w:rsidRPr="00E143EB">
        <w:t xml:space="preserve">Amended </w:t>
      </w:r>
      <w:hyperlink r:id="rId10" w:history="1">
        <w:r w:rsidRPr="00A40ACC">
          <w:rPr>
            <w:rStyle w:val="Hyperlink"/>
          </w:rPr>
          <w:t>SJ</w:t>
        </w:r>
      </w:hyperlink>
      <w:r>
        <w:noBreakHyphen/>
      </w:r>
      <w:r w:rsidRPr="00E143EB">
        <w:t>51</w:t>
      </w:r>
    </w:p>
    <w:p w:rsidR="001E00FE" w:rsidRDefault="001E00FE" w:rsidP="001E00FE">
      <w:pPr>
        <w:widowControl w:val="0"/>
        <w:tabs>
          <w:tab w:val="right" w:pos="1008"/>
          <w:tab w:val="left" w:pos="1152"/>
          <w:tab w:val="left" w:pos="1872"/>
          <w:tab w:val="left" w:pos="9187"/>
        </w:tabs>
        <w:ind w:left="2088" w:hanging="2088"/>
      </w:pPr>
      <w:r>
        <w:tab/>
        <w:t>2/25/2010</w:t>
      </w:r>
      <w:r>
        <w:tab/>
        <w:t>Senate</w:t>
      </w:r>
      <w:r>
        <w:tab/>
      </w:r>
      <w:r w:rsidRPr="00E143EB">
        <w:t xml:space="preserve">Read second time </w:t>
      </w:r>
      <w:hyperlink r:id="rId11" w:history="1">
        <w:r w:rsidRPr="00A40ACC">
          <w:rPr>
            <w:rStyle w:val="Hyperlink"/>
          </w:rPr>
          <w:t>SJ</w:t>
        </w:r>
      </w:hyperlink>
      <w:r>
        <w:noBreakHyphen/>
      </w:r>
      <w:r w:rsidRPr="00E143EB">
        <w:t>51</w:t>
      </w:r>
    </w:p>
    <w:p w:rsidR="001E00FE" w:rsidRDefault="001E00FE" w:rsidP="001E00FE">
      <w:pPr>
        <w:widowControl w:val="0"/>
        <w:tabs>
          <w:tab w:val="right" w:pos="1008"/>
          <w:tab w:val="left" w:pos="1152"/>
          <w:tab w:val="left" w:pos="1872"/>
          <w:tab w:val="left" w:pos="9187"/>
        </w:tabs>
        <w:ind w:left="2088" w:hanging="2088"/>
      </w:pPr>
      <w:r>
        <w:tab/>
        <w:t>2/26/2010</w:t>
      </w:r>
      <w:r>
        <w:tab/>
      </w:r>
      <w:r>
        <w:tab/>
      </w:r>
      <w:r w:rsidRPr="00E143EB">
        <w:t>Scrivener's error corrected</w:t>
      </w:r>
    </w:p>
    <w:p w:rsidR="001E00FE" w:rsidRDefault="001E00FE" w:rsidP="001E00FE">
      <w:pPr>
        <w:widowControl w:val="0"/>
        <w:tabs>
          <w:tab w:val="right" w:pos="1008"/>
          <w:tab w:val="left" w:pos="1152"/>
          <w:tab w:val="left" w:pos="1872"/>
          <w:tab w:val="left" w:pos="9187"/>
        </w:tabs>
        <w:ind w:left="2088" w:hanging="2088"/>
      </w:pPr>
    </w:p>
    <w:p w:rsidR="00955D6F" w:rsidRDefault="00955D6F">
      <w:pPr>
        <w:widowControl w:val="0"/>
        <w:tabs>
          <w:tab w:val="right" w:pos="1008"/>
          <w:tab w:val="left" w:pos="1152"/>
          <w:tab w:val="left" w:pos="1872"/>
          <w:tab w:val="left" w:pos="9187"/>
        </w:tabs>
        <w:ind w:left="2088" w:hanging="2088"/>
      </w:pPr>
    </w:p>
    <w:p w:rsidR="00955D6F" w:rsidRDefault="00B37218">
      <w:pPr>
        <w:widowControl w:val="0"/>
      </w:pPr>
      <w:r>
        <w:rPr>
          <w:b/>
        </w:rPr>
        <w:t>VERSIONS OF THIS BILL</w:t>
      </w:r>
    </w:p>
    <w:p w:rsidR="00955D6F" w:rsidRDefault="00955D6F">
      <w:pPr>
        <w:widowControl w:val="0"/>
      </w:pPr>
    </w:p>
    <w:p w:rsidR="00955D6F" w:rsidRDefault="00ED3A13">
      <w:pPr>
        <w:widowControl w:val="0"/>
      </w:pPr>
      <w:hyperlink r:id="rId12" w:history="1">
        <w:r w:rsidR="00B37218">
          <w:rPr>
            <w:rStyle w:val="Hyperlink"/>
          </w:rPr>
          <w:t>3/25/2009</w:t>
        </w:r>
      </w:hyperlink>
    </w:p>
    <w:p w:rsidR="00955D6F" w:rsidRDefault="00ED3A13">
      <w:hyperlink r:id="rId13" w:history="1">
        <w:r w:rsidR="00B37218">
          <w:rPr>
            <w:rStyle w:val="Hyperlink"/>
          </w:rPr>
          <w:t>4/29/2009</w:t>
        </w:r>
      </w:hyperlink>
    </w:p>
    <w:p w:rsidR="00625B53" w:rsidRDefault="00ED3A13">
      <w:hyperlink r:id="rId14" w:history="1">
        <w:r w:rsidR="00625B53" w:rsidRPr="00625B53">
          <w:rPr>
            <w:rStyle w:val="Hyperlink"/>
          </w:rPr>
          <w:t>2/25/2010</w:t>
        </w:r>
      </w:hyperlink>
    </w:p>
    <w:p w:rsidR="00D46850" w:rsidRDefault="00ED3A13">
      <w:hyperlink r:id="rId15" w:history="1">
        <w:r w:rsidR="00D46850" w:rsidRPr="00D46850">
          <w:rPr>
            <w:rStyle w:val="Hyperlink"/>
          </w:rPr>
          <w:t>2/26/2010</w:t>
        </w:r>
      </w:hyperlink>
    </w:p>
    <w:p w:rsidR="00955D6F" w:rsidRDefault="00955D6F"/>
    <w:p w:rsidR="00955D6F" w:rsidRDefault="00955D6F">
      <w:pPr>
        <w:sectPr w:rsidR="00955D6F">
          <w:pgSz w:w="12240" w:h="15840" w:code="1"/>
          <w:pgMar w:top="1080" w:right="1440" w:bottom="1080" w:left="1440" w:header="720" w:footer="720" w:gutter="0"/>
          <w:cols w:space="720"/>
          <w:noEndnote/>
          <w:docGrid w:linePitch="360"/>
        </w:sect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 AND AMENDED</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2010</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Pr="00981E04" w:rsidRDefault="00D46850" w:rsidP="00981E04">
      <w:pPr>
        <w:tabs>
          <w:tab w:val="right" w:pos="5933"/>
        </w:tabs>
        <w:suppressAutoHyphens/>
        <w:jc w:val="both"/>
        <w:rPr>
          <w:rFonts w:eastAsia="Times New Roman"/>
        </w:rPr>
      </w:pPr>
      <w:r>
        <w:rPr>
          <w:rFonts w:eastAsia="Times New Roman"/>
        </w:rPr>
        <w:tab/>
      </w:r>
      <w:r>
        <w:rPr>
          <w:rFonts w:eastAsia="Times New Roman"/>
          <w:b/>
          <w:sz w:val="36"/>
        </w:rPr>
        <w:t>S. 612</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Setzler and O’Dell</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rsidP="00616AAC">
      <w:pPr>
        <w:tabs>
          <w:tab w:val="right" w:pos="5933"/>
        </w:tabs>
        <w:suppressAutoHyphens/>
        <w:jc w:val="both"/>
        <w:rPr>
          <w:rFonts w:eastAsia="Times New Roman"/>
        </w:rPr>
      </w:pPr>
      <w:r>
        <w:rPr>
          <w:rFonts w:eastAsia="Times New Roman"/>
        </w:rPr>
        <w:t>S. Printed 2/25/10--S.</w:t>
      </w:r>
      <w:r>
        <w:rPr>
          <w:rFonts w:eastAsia="Times New Roman"/>
        </w:rPr>
        <w:tab/>
        <w:t>[SEC 2/26/10 2:51 PM]</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D46850" w:rsidRPr="00981E04" w:rsidRDefault="00D46850" w:rsidP="0098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6850" w:rsidRPr="00981E04" w:rsidRDefault="00D46850" w:rsidP="0061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6850" w:rsidSect="00981E0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AMEND THE CODE OF LAWS OF SOUTH CAROLINA, 1976, BY ADDING SECTION 39</w:t>
      </w:r>
      <w:r>
        <w:rPr>
          <w:rFonts w:eastAsia="Times New Roman"/>
          <w:szCs w:val="20"/>
        </w:rPr>
        <w:noBreakHyphen/>
        <w:t>41</w:t>
      </w:r>
      <w:r>
        <w:rPr>
          <w:rFonts w:eastAsia="Times New Roman"/>
          <w:szCs w:val="20"/>
        </w:rPr>
        <w:noBreakHyphen/>
        <w:t>235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4" w:name="titleend"/>
      <w:bookmarkEnd w:id="4"/>
      <w:r>
        <w:rPr>
          <w:rFonts w:eastAsia="Times New Roman"/>
          <w:szCs w:val="20"/>
        </w:rPr>
        <w:tab/>
        <w:t>Amend Title To Conform</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by distributors or retailers.  Therefore, any provision of any contract that is executed, modified, renewed, or amended on or after the effective date of this act that would restrict or prevent a distributor or retailer from blending is contrary to the public purpose of this act and is deemed void.</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SECTION</w:t>
      </w:r>
      <w:r>
        <w:tab/>
        <w:t>2.</w:t>
      </w:r>
      <w:r>
        <w:tab/>
        <w:t>Article 1, Chapter 41, Title 39 of the 1976 Code is amended by adding:</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46850" w:rsidRDefault="00D46850" w:rsidP="00D2624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Pr>
          <w:rFonts w:eastAsia="Times New Roman"/>
          <w:szCs w:val="20"/>
        </w:rPr>
        <w:t>“Section 39</w:t>
      </w:r>
      <w:r>
        <w:rPr>
          <w:rFonts w:eastAsia="Times New Roman"/>
          <w:szCs w:val="20"/>
        </w:rPr>
        <w:noBreakHyphen/>
        <w:t>41</w:t>
      </w:r>
      <w:r>
        <w:rPr>
          <w:rFonts w:eastAsia="Times New Roman"/>
          <w:szCs w:val="20"/>
        </w:rPr>
        <w:noBreakHyphen/>
        <w:t>235.</w:t>
      </w:r>
      <w:r>
        <w:rPr>
          <w:rFonts w:eastAsia="Times New Roman"/>
          <w:szCs w:val="20"/>
        </w:rPr>
        <w:tab/>
        <w:t>(A)</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all grades of petroleum products that are not already preblended with ethanol and that is suitable for subsequent blending of the product with ethanol.</w:t>
      </w:r>
    </w:p>
    <w:p w:rsidR="00D46850" w:rsidRDefault="00D46850" w:rsidP="00D2624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Regardless of other products offered, every terminal, as defined in Section 12</w:t>
      </w:r>
      <w:r>
        <w:rPr>
          <w:rFonts w:eastAsia="Times New Roman"/>
          <w:szCs w:val="20"/>
        </w:rPr>
        <w:noBreakHyphen/>
        <w:t>28</w:t>
      </w:r>
      <w:r>
        <w:rPr>
          <w:rFonts w:eastAsia="Times New Roman"/>
          <w:szCs w:val="20"/>
        </w:rPr>
        <w:noBreakHyphen/>
        <w:t>110(56), located within the State must offer for sale all grades of diesel fuel that are not already preblended to produce biodiesel or a biodiesel blend and that are suitable for subsequent blending to produce biodiesel or biodiesel blends.</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Pr>
          <w:rFonts w:eastAsia="Times New Roman"/>
          <w:szCs w:val="20"/>
        </w:rPr>
        <w:tab/>
        <w:t>(C)</w:t>
      </w:r>
      <w:r>
        <w:rPr>
          <w:rFonts w:eastAsia="Times New Roman"/>
          <w:szCs w:val="20"/>
        </w:rPr>
        <w:tab/>
        <w:t>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w:t>
      </w:r>
      <w:r>
        <w:rPr>
          <w:rFonts w:eastAsia="Times New Roman"/>
          <w:szCs w:val="20"/>
        </w:rPr>
        <w:tab/>
      </w:r>
    </w:p>
    <w:p w:rsidR="00D46850" w:rsidRPr="002074D0" w:rsidRDefault="00D46850" w:rsidP="00D262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074D0">
        <w:rPr>
          <w:rFonts w:eastAsia="Times New Roman"/>
          <w:snapToGrid w:val="0"/>
          <w:szCs w:val="20"/>
        </w:rPr>
        <w:tab/>
        <w:t>(</w:t>
      </w:r>
      <w:r>
        <w:rPr>
          <w:rFonts w:eastAsia="Times New Roman"/>
          <w:snapToGrid w:val="0"/>
          <w:szCs w:val="20"/>
        </w:rPr>
        <w:t>D</w:t>
      </w:r>
      <w:r w:rsidRPr="002074D0">
        <w:rPr>
          <w:rFonts w:eastAsia="Times New Roman"/>
          <w:snapToGrid w:val="0"/>
          <w:szCs w:val="20"/>
        </w:rPr>
        <w:t>)</w:t>
      </w:r>
      <w:r w:rsidRPr="002074D0">
        <w:rPr>
          <w:rFonts w:eastAsia="Times New Roman"/>
          <w:snapToGrid w:val="0"/>
          <w:szCs w:val="20"/>
        </w:rPr>
        <w:tab/>
        <w:t>No person or entity shall take an action to deny a distributor, as defined in Section 12</w:t>
      </w:r>
      <w:r>
        <w:rPr>
          <w:rFonts w:eastAsia="Times New Roman"/>
          <w:snapToGrid w:val="0"/>
          <w:szCs w:val="20"/>
        </w:rPr>
        <w:noBreakHyphen/>
      </w:r>
      <w:r w:rsidRPr="002074D0">
        <w:rPr>
          <w:rFonts w:eastAsia="Times New Roman"/>
          <w:snapToGrid w:val="0"/>
          <w:szCs w:val="20"/>
        </w:rPr>
        <w:t>28</w:t>
      </w:r>
      <w:r>
        <w:rPr>
          <w:rFonts w:eastAsia="Times New Roman"/>
          <w:snapToGrid w:val="0"/>
          <w:szCs w:val="20"/>
        </w:rPr>
        <w:noBreakHyphen/>
      </w:r>
      <w:r w:rsidRPr="002074D0">
        <w:rPr>
          <w:rFonts w:eastAsia="Times New Roman"/>
          <w:snapToGrid w:val="0"/>
          <w:szCs w:val="20"/>
        </w:rPr>
        <w:t>110(17), or retailer, as defined in Section 12</w:t>
      </w:r>
      <w:r>
        <w:rPr>
          <w:rFonts w:eastAsia="Times New Roman"/>
          <w:snapToGrid w:val="0"/>
          <w:szCs w:val="20"/>
        </w:rPr>
        <w:noBreakHyphen/>
      </w:r>
      <w:r w:rsidRPr="002074D0">
        <w:rPr>
          <w:rFonts w:eastAsia="Times New Roman"/>
          <w:snapToGrid w:val="0"/>
          <w:szCs w:val="20"/>
        </w:rPr>
        <w:t>28</w:t>
      </w:r>
      <w:r>
        <w:rPr>
          <w:rFonts w:eastAsia="Times New Roman"/>
          <w:snapToGrid w:val="0"/>
          <w:szCs w:val="20"/>
        </w:rPr>
        <w:noBreakHyphen/>
      </w:r>
      <w:r w:rsidRPr="002074D0">
        <w:rPr>
          <w:rFonts w:eastAsia="Times New Roman"/>
          <w:snapToGrid w:val="0"/>
          <w:szCs w:val="20"/>
        </w:rPr>
        <w:t xml:space="preserve">110(52) who is doing business in this State and who has registered with the Internal Revenue Service on Form 637 (M) from being the blender of record afforded them by the acceptance by the Internal Revenue Service of Form 637 (M). </w:t>
      </w:r>
    </w:p>
    <w:p w:rsidR="00D46850" w:rsidRPr="002074D0" w:rsidRDefault="00D46850" w:rsidP="00D262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074D0">
        <w:rPr>
          <w:rFonts w:eastAsia="Times New Roman"/>
          <w:snapToGrid w:val="0"/>
          <w:szCs w:val="20"/>
        </w:rPr>
        <w:tab/>
        <w:t>(</w:t>
      </w:r>
      <w:r>
        <w:rPr>
          <w:rFonts w:eastAsia="Times New Roman"/>
          <w:snapToGrid w:val="0"/>
          <w:szCs w:val="20"/>
        </w:rPr>
        <w:t>E</w:t>
      </w:r>
      <w:r w:rsidRPr="002074D0">
        <w:rPr>
          <w:rFonts w:eastAsia="Times New Roman"/>
          <w:snapToGrid w:val="0"/>
          <w:szCs w:val="20"/>
        </w:rPr>
        <w:t>)</w:t>
      </w:r>
      <w:r w:rsidRPr="002074D0">
        <w:rPr>
          <w:rFonts w:eastAsia="Times New Roman"/>
          <w:snapToGrid w:val="0"/>
          <w:szCs w:val="20"/>
        </w:rPr>
        <w:tab/>
        <w:t xml:space="preserve">A distributor or retailer and a refiner must utilize the Renewable Identification Number (RIN) system.  Nothing in this section may be construed to imply a market value for the RINs.  </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00778">
        <w:rPr>
          <w:color w:val="000000" w:themeColor="text1"/>
          <w:u w:color="000000" w:themeColor="text1"/>
        </w:rPr>
        <w:t>A violation of this article is deemed an unfair trade practice, and each violation is a separate offense. A person or entity violating the provisions of this article is guilty of a misdemeanor and, upon conviction, must be fined not more than five thousand dollars for each violation.</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7"/>
          <w:u w:color="000000" w:themeColor="text1"/>
        </w:rPr>
      </w:pPr>
      <w:r>
        <w:rPr>
          <w:rFonts w:eastAsia="Times New Roman"/>
          <w:snapToGrid w:val="0"/>
          <w:szCs w:val="20"/>
        </w:rPr>
        <w:tab/>
        <w:t>(G)</w:t>
      </w:r>
      <w:r>
        <w:rPr>
          <w:rFonts w:eastAsia="Times New Roman"/>
          <w:szCs w:val="28"/>
        </w:rPr>
        <w:tab/>
      </w:r>
      <w:r>
        <w:rPr>
          <w:rFonts w:cs="Arial"/>
          <w:color w:val="000000"/>
          <w:szCs w:val="28"/>
        </w:rPr>
        <w:t>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cs="Arial"/>
          <w:color w:val="000000"/>
          <w:szCs w:val="28"/>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rFonts w:eastAsia="Times New Roman"/>
          <w:snapToGrid w:val="0"/>
          <w:szCs w:val="20"/>
        </w:rPr>
        <w:t>SECTION</w:t>
      </w:r>
      <w:r>
        <w:rPr>
          <w:rFonts w:eastAsia="Times New Roman"/>
          <w:snapToGrid w:val="0"/>
          <w:szCs w:val="20"/>
        </w:rPr>
        <w:tab/>
        <w:t>4.</w:t>
      </w:r>
      <w:r>
        <w:rPr>
          <w:rFonts w:eastAsia="Times New Roman"/>
          <w:snapToGrid w:val="0"/>
          <w:szCs w:val="20"/>
        </w:rPr>
        <w:tab/>
      </w:r>
      <w:r>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p>
    <w:p w:rsidR="00D46850" w:rsidRPr="00A54814"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SECTION</w:t>
      </w:r>
      <w:r>
        <w:rPr>
          <w:rFonts w:eastAsia="Times New Roman"/>
          <w:szCs w:val="20"/>
        </w:rPr>
        <w:tab/>
        <w:t>5.</w:t>
      </w:r>
      <w:r>
        <w:rPr>
          <w:rFonts w:eastAsia="Times New Roman"/>
          <w:szCs w:val="20"/>
        </w:rPr>
        <w:tab/>
      </w:r>
      <w:r>
        <w:rPr>
          <w:color w:val="000000" w:themeColor="text1"/>
          <w:u w:color="000000" w:themeColor="text1"/>
        </w:rPr>
        <w:t>(A)</w:t>
      </w:r>
      <w:r>
        <w:rPr>
          <w:color w:val="000000" w:themeColor="text1"/>
          <w:u w:color="000000" w:themeColor="text1"/>
        </w:rPr>
        <w:tab/>
      </w:r>
      <w:r w:rsidRPr="00A54814">
        <w:rPr>
          <w:color w:val="000000" w:themeColor="text1"/>
          <w:u w:color="000000" w:themeColor="text1"/>
        </w:rPr>
        <w:t>Section 39</w:t>
      </w:r>
      <w:r w:rsidRPr="00A54814">
        <w:rPr>
          <w:color w:val="000000" w:themeColor="text1"/>
          <w:u w:color="000000" w:themeColor="text1"/>
        </w:rPr>
        <w:noBreakHyphen/>
        <w:t>41</w:t>
      </w:r>
      <w:r w:rsidRPr="00A54814">
        <w:rPr>
          <w:color w:val="000000" w:themeColor="text1"/>
          <w:u w:color="000000" w:themeColor="text1"/>
        </w:rPr>
        <w:noBreakHyphen/>
        <w:t>235 (A) and Section 39</w:t>
      </w:r>
      <w:r w:rsidRPr="00A54814">
        <w:rPr>
          <w:color w:val="000000" w:themeColor="text1"/>
          <w:u w:color="000000" w:themeColor="text1"/>
        </w:rPr>
        <w:noBreakHyphen/>
        <w:t>41</w:t>
      </w:r>
      <w:r w:rsidRPr="00A54814">
        <w:rPr>
          <w:color w:val="000000" w:themeColor="text1"/>
          <w:u w:color="000000" w:themeColor="text1"/>
        </w:rPr>
        <w:noBreakHyphen/>
        <w:t xml:space="preserve">235 (B) as contained in </w:t>
      </w:r>
      <w:r>
        <w:rPr>
          <w:color w:val="000000" w:themeColor="text1"/>
          <w:u w:color="000000" w:themeColor="text1"/>
        </w:rPr>
        <w:t>SECTION 2 of this a</w:t>
      </w:r>
      <w:r w:rsidRPr="00A54814">
        <w:rPr>
          <w:color w:val="000000" w:themeColor="text1"/>
          <w:u w:color="000000" w:themeColor="text1"/>
        </w:rPr>
        <w:t>ct take effect sixty days after approval of the Governor.</w:t>
      </w:r>
    </w:p>
    <w:p w:rsidR="00D46850" w:rsidRDefault="00D46850" w:rsidP="00D26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color w:val="000000" w:themeColor="text1"/>
          <w:u w:color="000000" w:themeColor="text1"/>
        </w:rPr>
        <w:tab/>
        <w:t>(B)</w:t>
      </w:r>
      <w:r>
        <w:rPr>
          <w:color w:val="000000" w:themeColor="text1"/>
          <w:u w:color="000000" w:themeColor="text1"/>
        </w:rPr>
        <w:tab/>
      </w:r>
      <w:r w:rsidRPr="00A54814">
        <w:rPr>
          <w:color w:val="000000" w:themeColor="text1"/>
          <w:u w:color="000000" w:themeColor="text1"/>
        </w:rPr>
        <w:t xml:space="preserve">Except as provided in </w:t>
      </w:r>
      <w:r>
        <w:rPr>
          <w:color w:val="000000" w:themeColor="text1"/>
          <w:u w:color="000000" w:themeColor="text1"/>
        </w:rPr>
        <w:t xml:space="preserve">subsection </w:t>
      </w:r>
      <w:r w:rsidRPr="00A54814">
        <w:rPr>
          <w:color w:val="000000" w:themeColor="text1"/>
          <w:u w:color="000000" w:themeColor="text1"/>
        </w:rPr>
        <w:t xml:space="preserve">(A) of this </w:t>
      </w:r>
      <w:r>
        <w:rPr>
          <w:color w:val="000000" w:themeColor="text1"/>
          <w:u w:color="000000" w:themeColor="text1"/>
        </w:rPr>
        <w:t>SECTION</w:t>
      </w:r>
      <w:r w:rsidRPr="00A54814">
        <w:rPr>
          <w:color w:val="000000" w:themeColor="text1"/>
          <w:u w:color="000000" w:themeColor="text1"/>
        </w:rPr>
        <w:t>, this Act takes effect upon approval of the Governor.</w:t>
      </w:r>
    </w:p>
    <w:p w:rsidR="00D46850" w:rsidRDefault="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5D6F" w:rsidRDefault="00955D6F" w:rsidP="00D4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55D6F" w:rsidSect="00981E0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D6F" w:rsidRDefault="00B37218">
      <w:r>
        <w:separator/>
      </w:r>
    </w:p>
  </w:endnote>
  <w:endnote w:type="continuationSeparator" w:id="0">
    <w:p w:rsidR="00955D6F" w:rsidRDefault="00B3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6A04B9-53FA-4430-A011-055CE041546B}"/>
    <w:embedBold r:id="rId2" w:fontKey="{AA61C9C4-1941-45AB-A473-B8F8F4CF56D1}"/>
  </w:font>
  <w:font w:name="Calibri">
    <w:panose1 w:val="020F0502020204030204"/>
    <w:charset w:val="00"/>
    <w:family w:val="swiss"/>
    <w:pitch w:val="variable"/>
    <w:sig w:usb0="E10002FF" w:usb1="4000ACFF" w:usb2="00000009" w:usb3="00000000" w:csb0="0000019F" w:csb1="00000000"/>
    <w:embedRegular r:id="rId3" w:fontKey="{265CDC0A-13A3-4643-B27C-864CDCA04C84}"/>
    <w:embedBold r:id="rId4" w:fontKey="{4D49C35E-4B9E-4321-99C0-61174419CB72}"/>
  </w:font>
  <w:font w:name="Arial">
    <w:panose1 w:val="020B0604020202020204"/>
    <w:charset w:val="00"/>
    <w:family w:val="swiss"/>
    <w:pitch w:val="variable"/>
    <w:sig w:usb0="20002A87" w:usb1="80000000" w:usb2="00000008" w:usb3="00000000" w:csb0="000001FF" w:csb1="00000000"/>
    <w:embedRegular r:id="rId5" w:fontKey="{E766619F-C882-4878-8D35-B98726F19D2A}"/>
  </w:font>
  <w:font w:name="Cambria">
    <w:panose1 w:val="02040503050406030204"/>
    <w:charset w:val="00"/>
    <w:family w:val="roman"/>
    <w:pitch w:val="variable"/>
    <w:sig w:usb0="E00002FF" w:usb1="400004FF" w:usb2="00000000" w:usb3="00000000" w:csb0="0000019F" w:csb1="00000000"/>
    <w:embedRegular r:id="rId6" w:fontKey="{0C031036-7611-4328-BA34-5342DC99E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850" w:rsidRDefault="00D46850">
    <w:pPr>
      <w:pStyle w:val="Footer"/>
      <w:tabs>
        <w:tab w:val="clear" w:pos="4680"/>
        <w:tab w:val="clear" w:pos="9360"/>
        <w:tab w:val="center" w:pos="2995"/>
      </w:tabs>
      <w:spacing w:before="120"/>
    </w:pPr>
    <w:r>
      <w:t>[612-</w:t>
    </w:r>
    <w:r w:rsidR="00ED3A13">
      <w:fldChar w:fldCharType="begin"/>
    </w:r>
    <w:r w:rsidR="00ED3A13">
      <w:instrText xml:space="preserve"> PAGE  \* MERGEFORMAT </w:instrText>
    </w:r>
    <w:r w:rsidR="00ED3A13">
      <w:fldChar w:fldCharType="separate"/>
    </w:r>
    <w:r w:rsidR="00ED3A13">
      <w:rPr>
        <w:noProof/>
      </w:rPr>
      <w:t>1</w:t>
    </w:r>
    <w:r w:rsidR="00ED3A1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E04" w:rsidRDefault="00D46850">
    <w:pPr>
      <w:pStyle w:val="Footer"/>
      <w:tabs>
        <w:tab w:val="clear" w:pos="4680"/>
        <w:tab w:val="clear" w:pos="9360"/>
        <w:tab w:val="center" w:pos="2995"/>
      </w:tabs>
      <w:spacing w:before="120"/>
    </w:pPr>
    <w:r>
      <w:t>[612]</w:t>
    </w:r>
    <w:r>
      <w:tab/>
    </w:r>
    <w:r w:rsidR="00927D41">
      <w:fldChar w:fldCharType="begin"/>
    </w:r>
    <w:r>
      <w:instrText xml:space="preserve"> PAGE  \* MERGEFORMAT </w:instrText>
    </w:r>
    <w:r w:rsidR="00927D41">
      <w:fldChar w:fldCharType="separate"/>
    </w:r>
    <w:r>
      <w:rPr>
        <w:noProof/>
      </w:rPr>
      <w:t>3</w:t>
    </w:r>
    <w:r w:rsidR="00927D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D6F" w:rsidRDefault="00B37218">
      <w:r>
        <w:separator/>
      </w:r>
    </w:p>
  </w:footnote>
  <w:footnote w:type="continuationSeparator" w:id="0">
    <w:p w:rsidR="00955D6F" w:rsidRDefault="00B372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07FBLE.TCM.NS"/>
    <w:docVar w:name="CoverAttorneyInitials" w:val="TCM"/>
    <w:docVar w:name="CoverAttorneyLastName" w:val="Miles"/>
    <w:docVar w:name="CoverBillType" w:val="b"/>
    <w:docVar w:name="CoverSenator" w:val="NS"/>
    <w:docVar w:name="dvBillNumber" w:val="612"/>
    <w:docVar w:name="dvBillNumberPrefix" w:val="S. "/>
    <w:docVar w:name="dvOriginalBody" w:val="Senate"/>
    <w:docVar w:name="fulldraftpath" w:val="L:\S-RESMIN\DRAFTING\NS\007FBLE.TCM.NS.DOCX"/>
    <w:docVar w:name="NameofBody" w:val="S"/>
    <w:docVar w:name="vgroup2" w:val="S-RESMIN"/>
  </w:docVars>
  <w:rsids>
    <w:rsidRoot w:val="00955D6F"/>
    <w:rsid w:val="000A1E6A"/>
    <w:rsid w:val="001E00FE"/>
    <w:rsid w:val="002733CF"/>
    <w:rsid w:val="00625B53"/>
    <w:rsid w:val="00741630"/>
    <w:rsid w:val="007C63AE"/>
    <w:rsid w:val="00927D41"/>
    <w:rsid w:val="00955D6F"/>
    <w:rsid w:val="009761D0"/>
    <w:rsid w:val="00A40ACC"/>
    <w:rsid w:val="00A924C8"/>
    <w:rsid w:val="00B37218"/>
    <w:rsid w:val="00D46850"/>
    <w:rsid w:val="00DB4D2B"/>
    <w:rsid w:val="00ED3A13"/>
    <w:rsid w:val="00EE00F2"/>
    <w:rsid w:val="00F55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0F12A141-5AD4-42B1-B1F5-6F47E53D7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55D6F"/>
    <w:pPr>
      <w:tabs>
        <w:tab w:val="center" w:pos="4680"/>
        <w:tab w:val="right" w:pos="9360"/>
      </w:tabs>
    </w:pPr>
  </w:style>
  <w:style w:type="character" w:customStyle="1" w:styleId="FooterChar">
    <w:name w:val="Footer Char"/>
    <w:basedOn w:val="DefaultParagraphFont"/>
    <w:link w:val="Footer"/>
    <w:uiPriority w:val="99"/>
    <w:semiHidden/>
    <w:rsid w:val="00955D6F"/>
  </w:style>
  <w:style w:type="character" w:styleId="PageNumber">
    <w:name w:val="page number"/>
    <w:basedOn w:val="DefaultParagraphFont"/>
    <w:uiPriority w:val="99"/>
    <w:semiHidden/>
    <w:unhideWhenUsed/>
    <w:rsid w:val="00955D6F"/>
  </w:style>
  <w:style w:type="character" w:styleId="LineNumber">
    <w:name w:val="line number"/>
    <w:basedOn w:val="DefaultParagraphFont"/>
    <w:uiPriority w:val="99"/>
    <w:semiHidden/>
    <w:unhideWhenUsed/>
    <w:rsid w:val="00955D6F"/>
  </w:style>
  <w:style w:type="paragraph" w:styleId="Header">
    <w:name w:val="header"/>
    <w:basedOn w:val="Normal"/>
    <w:link w:val="HeaderChar"/>
    <w:uiPriority w:val="99"/>
    <w:semiHidden/>
    <w:unhideWhenUsed/>
    <w:rsid w:val="00955D6F"/>
    <w:pPr>
      <w:tabs>
        <w:tab w:val="center" w:pos="4680"/>
        <w:tab w:val="right" w:pos="9360"/>
      </w:tabs>
    </w:pPr>
  </w:style>
  <w:style w:type="character" w:customStyle="1" w:styleId="HeaderChar">
    <w:name w:val="Header Char"/>
    <w:basedOn w:val="DefaultParagraphFont"/>
    <w:link w:val="Header"/>
    <w:uiPriority w:val="99"/>
    <w:semiHidden/>
    <w:rsid w:val="00955D6F"/>
  </w:style>
  <w:style w:type="paragraph" w:customStyle="1" w:styleId="BillDots">
    <w:name w:val="BillDots"/>
    <w:basedOn w:val="Normal"/>
    <w:qFormat/>
    <w:rsid w:val="00955D6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55D6F"/>
    <w:pPr>
      <w:tabs>
        <w:tab w:val="right" w:pos="5904"/>
      </w:tabs>
    </w:pPr>
  </w:style>
  <w:style w:type="character" w:styleId="Hyperlink">
    <w:name w:val="Hyperlink"/>
    <w:basedOn w:val="DefaultParagraphFont"/>
    <w:uiPriority w:val="99"/>
    <w:unhideWhenUsed/>
    <w:rsid w:val="00955D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9-09.docx" TargetMode="External"/><Relationship Id="rId13" Type="http://schemas.openxmlformats.org/officeDocument/2006/relationships/hyperlink" Target="file:///p:\pprever\2009-10\612_20090429.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3-25-09.docx" TargetMode="External"/><Relationship Id="rId12" Type="http://schemas.openxmlformats.org/officeDocument/2006/relationships/hyperlink" Target="file:///p:\pprever\2009-10\612_20090325.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09\03-25-09.docx" TargetMode="External"/><Relationship Id="rId11" Type="http://schemas.openxmlformats.org/officeDocument/2006/relationships/hyperlink" Target="file:///h:\SJ%20Archive\2010\02-25-10.docx" TargetMode="External"/><Relationship Id="rId5" Type="http://schemas.openxmlformats.org/officeDocument/2006/relationships/endnotes" Target="endnotes.xml"/><Relationship Id="rId15" Type="http://schemas.openxmlformats.org/officeDocument/2006/relationships/hyperlink" Target="file:///p:\pprever\2009-10\612_20100226.docx" TargetMode="External"/><Relationship Id="rId10" Type="http://schemas.openxmlformats.org/officeDocument/2006/relationships/hyperlink" Target="file:///h:\SJ%20Archive\2010\02-25-10.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0\02-25-10.docx" TargetMode="External"/><Relationship Id="rId14" Type="http://schemas.openxmlformats.org/officeDocument/2006/relationships/hyperlink" Target="file:///p:\pprever\2009-10\612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1034</Words>
  <Characters>5598</Characters>
  <Application>Microsoft Office Word</Application>
  <DocSecurity>0</DocSecurity>
  <Lines>166</Lines>
  <Paragraphs>50</Paragraphs>
  <ScaleCrop>false</ScaleCrop>
  <Company> </Company>
  <LinksUpToDate>false</LinksUpToDate>
  <CharactersWithSpaces>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612: Motor fuel terminals - South Carolina Legislature Online</dc:title>
  <dc:subject/>
  <dc:creator>TEMMILES</dc:creator>
  <cp:keywords/>
  <dc:description/>
  <cp:lastModifiedBy>N Cumfer</cp:lastModifiedBy>
  <cp:revision>6</cp:revision>
  <dcterms:created xsi:type="dcterms:W3CDTF">2010-02-26T19:51:00Z</dcterms:created>
  <dcterms:modified xsi:type="dcterms:W3CDTF">2014-11-24T15:02:00Z</dcterms:modified>
</cp:coreProperties>
</file>