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77B" w:rsidRDefault="00BF0BF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E0777B" w:rsidRDefault="00BF0BF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E0777B" w:rsidRDefault="00E077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0777B" w:rsidRDefault="00BF0BF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S. 726</w:t>
      </w:r>
    </w:p>
    <w:p w:rsidR="00E0777B" w:rsidRDefault="00E077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E0777B" w:rsidRDefault="00BF0BF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E0777B" w:rsidRDefault="00E077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0777B" w:rsidRDefault="00BF0BF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E0777B" w:rsidRDefault="00BF0BF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 Fair</w:t>
      </w:r>
    </w:p>
    <w:p w:rsidR="00E0777B" w:rsidRDefault="00BF0BF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l:\council\bills\agm\19399ab09.docx</w:t>
      </w:r>
    </w:p>
    <w:p w:rsidR="00E0777B" w:rsidRDefault="00E077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0777B" w:rsidRDefault="00BF0BF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April 21, 2009</w:t>
      </w:r>
    </w:p>
    <w:p w:rsidR="00E0777B" w:rsidRDefault="00BF0BF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Pr>
          <w:b/>
        </w:rPr>
        <w:t>Corrections and Penology</w:t>
      </w:r>
    </w:p>
    <w:p w:rsidR="00E0777B" w:rsidRDefault="00E077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0777B" w:rsidRDefault="00BF0BF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Department of Probation, Pardon and Parole</w:t>
      </w:r>
    </w:p>
    <w:p w:rsidR="00E0777B" w:rsidRDefault="00E077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0777B" w:rsidRDefault="00E077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0777B" w:rsidRDefault="00BF0BF3">
      <w:pPr>
        <w:widowControl w:val="0"/>
        <w:tabs>
          <w:tab w:val="center" w:pos="590"/>
          <w:tab w:val="center" w:pos="1440"/>
          <w:tab w:val="left" w:pos="1872"/>
          <w:tab w:val="left" w:pos="9187"/>
        </w:tabs>
        <w:jc w:val="left"/>
      </w:pPr>
      <w:r>
        <w:rPr>
          <w:b/>
        </w:rPr>
        <w:t>HISTORY OF LEGISLATIVE ACTIONS</w:t>
      </w:r>
    </w:p>
    <w:p w:rsidR="00E0777B" w:rsidRDefault="00E0777B">
      <w:pPr>
        <w:widowControl w:val="0"/>
        <w:tabs>
          <w:tab w:val="center" w:pos="590"/>
          <w:tab w:val="center" w:pos="1440"/>
          <w:tab w:val="left" w:pos="1872"/>
          <w:tab w:val="left" w:pos="9187"/>
        </w:tabs>
        <w:jc w:val="left"/>
      </w:pPr>
    </w:p>
    <w:p w:rsidR="00E0777B" w:rsidRDefault="00BF0BF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0777B" w:rsidRDefault="00BF0BF3">
      <w:pPr>
        <w:widowControl w:val="0"/>
        <w:tabs>
          <w:tab w:val="right" w:pos="1008"/>
          <w:tab w:val="left" w:pos="1152"/>
          <w:tab w:val="left" w:pos="1872"/>
          <w:tab w:val="left" w:pos="9187"/>
        </w:tabs>
        <w:ind w:left="2088" w:hanging="2088"/>
        <w:jc w:val="left"/>
      </w:pPr>
      <w:r>
        <w:tab/>
        <w:t>4/21/2009</w:t>
      </w:r>
      <w:r>
        <w:tab/>
        <w:t>Senate</w:t>
      </w:r>
      <w:r>
        <w:tab/>
        <w:t xml:space="preserve">Introduced and read first time </w:t>
      </w:r>
      <w:hyperlink r:id="rId7" w:history="1">
        <w:r w:rsidRPr="00930BFD">
          <w:rPr>
            <w:rStyle w:val="Hyperlink"/>
          </w:rPr>
          <w:t>SJ</w:t>
        </w:r>
      </w:hyperlink>
      <w:r>
        <w:noBreakHyphen/>
        <w:t>7</w:t>
      </w:r>
    </w:p>
    <w:p w:rsidR="00E0777B" w:rsidRDefault="00BF0BF3">
      <w:pPr>
        <w:widowControl w:val="0"/>
        <w:tabs>
          <w:tab w:val="right" w:pos="1008"/>
          <w:tab w:val="left" w:pos="1152"/>
          <w:tab w:val="left" w:pos="1872"/>
          <w:tab w:val="left" w:pos="9187"/>
        </w:tabs>
        <w:ind w:left="2088" w:hanging="2088"/>
        <w:jc w:val="left"/>
      </w:pPr>
      <w:r>
        <w:tab/>
        <w:t>4/21/2009</w:t>
      </w:r>
      <w:r>
        <w:tab/>
        <w:t>Senate</w:t>
      </w:r>
      <w:r>
        <w:tab/>
        <w:t xml:space="preserve">Referred to Committee on </w:t>
      </w:r>
      <w:r>
        <w:rPr>
          <w:b/>
        </w:rPr>
        <w:t>Corrections and Penology</w:t>
      </w:r>
      <w:r>
        <w:t xml:space="preserve"> </w:t>
      </w:r>
      <w:hyperlink r:id="rId8" w:history="1">
        <w:r w:rsidRPr="00930BFD">
          <w:rPr>
            <w:rStyle w:val="Hyperlink"/>
          </w:rPr>
          <w:t>SJ</w:t>
        </w:r>
      </w:hyperlink>
      <w:r>
        <w:noBreakHyphen/>
        <w:t>7</w:t>
      </w:r>
    </w:p>
    <w:p w:rsidR="00E0777B" w:rsidRDefault="00E0777B">
      <w:pPr>
        <w:widowControl w:val="0"/>
        <w:tabs>
          <w:tab w:val="right" w:pos="1008"/>
          <w:tab w:val="left" w:pos="1152"/>
          <w:tab w:val="left" w:pos="1872"/>
          <w:tab w:val="left" w:pos="9187"/>
        </w:tabs>
        <w:ind w:left="2088" w:hanging="2088"/>
        <w:jc w:val="left"/>
      </w:pPr>
    </w:p>
    <w:p w:rsidR="00E0777B" w:rsidRDefault="00E0777B">
      <w:pPr>
        <w:widowControl w:val="0"/>
        <w:tabs>
          <w:tab w:val="right" w:pos="1008"/>
          <w:tab w:val="left" w:pos="1152"/>
          <w:tab w:val="left" w:pos="1872"/>
          <w:tab w:val="left" w:pos="9187"/>
        </w:tabs>
        <w:ind w:left="2088" w:hanging="2088"/>
        <w:jc w:val="left"/>
      </w:pPr>
    </w:p>
    <w:p w:rsidR="00E0777B" w:rsidRDefault="00BF0BF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E0777B" w:rsidRDefault="00E0777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0777B" w:rsidRDefault="00CB609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BF0BF3">
          <w:rPr>
            <w:rStyle w:val="Hyperlink"/>
          </w:rPr>
          <w:t>4/21/2009</w:t>
        </w:r>
      </w:hyperlink>
    </w:p>
    <w:p w:rsidR="00E0777B" w:rsidRDefault="00E0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777B" w:rsidRDefault="00E0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0777B">
          <w:pgSz w:w="12240" w:h="15840" w:code="1"/>
          <w:pgMar w:top="1080" w:right="1440" w:bottom="1080" w:left="1440" w:header="720" w:footer="720" w:gutter="0"/>
          <w:cols w:space="720"/>
          <w:noEndnote/>
          <w:docGrid w:linePitch="360"/>
        </w:sectPr>
      </w:pPr>
    </w:p>
    <w:p w:rsidR="00E0777B" w:rsidRDefault="00E0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77B" w:rsidRDefault="00E0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77B" w:rsidRDefault="00E0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77B" w:rsidRDefault="00E0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77B" w:rsidRDefault="00E0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77B" w:rsidRDefault="00E0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77B" w:rsidRDefault="00E0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77B" w:rsidRDefault="00E0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77B" w:rsidRDefault="00BF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E0777B" w:rsidRDefault="00E0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77B" w:rsidRDefault="00BF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2" w:name="titletop"/>
      <w:bookmarkEnd w:id="2"/>
      <w:r>
        <w:rPr>
          <w:rFonts w:eastAsiaTheme="minorHAnsi" w:cstheme="minorBidi"/>
          <w:szCs w:val="22"/>
        </w:rPr>
        <w:t>TO AMEND THE CODE OF LAWS OF SOUTH CAROLINA, 1976, BY ADDING SECTION 24</w:t>
      </w:r>
      <w:r>
        <w:rPr>
          <w:rFonts w:eastAsiaTheme="minorHAnsi" w:cstheme="minorBidi"/>
          <w:szCs w:val="22"/>
        </w:rPr>
        <w:noBreakHyphen/>
        <w:t>21</w:t>
      </w:r>
      <w:r>
        <w:rPr>
          <w:rFonts w:eastAsiaTheme="minorHAnsi" w:cstheme="minorBidi"/>
          <w:szCs w:val="22"/>
        </w:rPr>
        <w:noBreakHyphen/>
        <w:t>100 SO AS TO PROVIDE THAT IN THE EVENT THAT THE DEPARTMENT OF PROBATION, PARDON AND PAROLE SERVICES LACKS SUFFICIENT FUNDS TO OPERATE THE PAROLE SYSTEM, THE DEPARTMENT AND THE BOARD OF PROBATION, PAROLE AND PARDON SERVICES JOINTLY MAY DEVELOP POLICIES, PROCEDURES, GUIDELINES, AND COOPERATIVE AGREEMENTS TO IMPLEMENT EARLY PAROLE TERMINATION FOR CAREFULLY SCREENED AND SELECTED PAROLEES WHO HAVE SERVED A MINIMUM OF THREE MONTHS AND HAVE SATISFIED THEIR RESTITUTION OBLIGATIONS AND FINE, FEE, AND ASSESSMENT REQUIREMENTS, TO PROVIDE PAROLEE MAY NOT BE CONSIDERED FOR THIS EARLY PAROLE TERMINATION IF HE HAS BEEN CONVICTED OF CERTAIN CRIMES; AND BY ADDING SECTION 24</w:t>
      </w:r>
      <w:r>
        <w:rPr>
          <w:rFonts w:eastAsiaTheme="minorHAnsi" w:cstheme="minorBidi"/>
          <w:szCs w:val="22"/>
        </w:rPr>
        <w:noBreakHyphen/>
        <w:t>21</w:t>
      </w:r>
      <w:r>
        <w:rPr>
          <w:rFonts w:eastAsiaTheme="minorHAnsi" w:cstheme="minorBidi"/>
          <w:szCs w:val="22"/>
        </w:rPr>
        <w:noBreakHyphen/>
        <w:t xml:space="preserve">110 SO AS TO PROVIDE IN THE EVENT THAT THE DEPARTMENT LACKS SUFFICIENT FUNDS TO OPERATE THE PROBATION SYSTEM, THE DEPARTMENT AND THE DIVISION OF COURT ADMINISTRATION JOINTLY MAY DEVELOP POLICIES, PROCEDURES, GUIDELINES, AND COOPERATIVE AGREEMENTS TO IMPLEMENT EARLY PROBATION TERMINATION FOR CAREFULLY SCREENED AND SELECTED PROBATIONERS WHO HAVE SERVED A MINIMUM OF THREE MONTHS AND HAVE SATISFIED THEIR RESTITUTION OBLIGATIONS  AND FINE, FEE, AND ASSESSMENT REQUIREMENTS, TO PROVIDE THE DEPARTMENT MUST PETITION THE COURT OF APPROPRIATE JURISDICTION FOR CONSIDERATION OF THE EARLY TERMINATION OF PROBATION AND  THIS COURT SHALL RETAIN FINAL DISCRETION IN THE </w:t>
      </w:r>
      <w:r>
        <w:rPr>
          <w:rFonts w:eastAsiaTheme="minorHAnsi" w:cstheme="minorBidi"/>
          <w:szCs w:val="22"/>
        </w:rPr>
        <w:lastRenderedPageBreak/>
        <w:t>MATTER, AND TO PROVIDE A PROBATIONER MAY NOT BE CONSIDERED FOR EARLY PROBATION TERMINATION IF HE HAS BEEN CONVICTED OF CERTAIN CRIMES.</w:t>
      </w:r>
    </w:p>
    <w:p w:rsidR="00E0777B" w:rsidRDefault="00E0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0777B" w:rsidRDefault="00BF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777B" w:rsidRDefault="00E0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77B" w:rsidRDefault="00BF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21, Title 24 of the 1976 Code is amended by adding:</w:t>
      </w:r>
    </w:p>
    <w:p w:rsidR="00E0777B" w:rsidRDefault="00E0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77B" w:rsidRDefault="00BF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21</w:t>
      </w:r>
      <w:r>
        <w:noBreakHyphen/>
        <w:t>100.</w:t>
      </w:r>
      <w:r>
        <w:tab/>
        <w:t>(A)</w:t>
      </w:r>
      <w:r>
        <w:tab/>
        <w:t xml:space="preserve">In the event that the department lacks sufficient funds to operate the parole system, the department and the Board of Probation, Parole and Pardon Services jointly may develop policies, procedures, guidelines, and cooperative agreements to implement early parole termination for carefully screened and selected parolees who have served a minimum of three months and have satisfied their restitution obligations and fine, fee, and assessment requirements.  </w:t>
      </w:r>
    </w:p>
    <w:p w:rsidR="00E0777B" w:rsidRDefault="00BF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parolee may not be considered for early parole termination under this section if he has been convicted of a violent crime as defined in Section 16</w:t>
      </w:r>
      <w:r>
        <w:noBreakHyphen/>
        <w:t>1</w:t>
      </w:r>
      <w:r>
        <w:noBreakHyphen/>
        <w:t>160, the crime of criminal sexual conduct in the third degree as defined in Section 16</w:t>
      </w:r>
      <w:r>
        <w:noBreakHyphen/>
        <w:t>3</w:t>
      </w:r>
      <w:r>
        <w:noBreakHyphen/>
        <w:t>654, or the crime of committing or attempting to commit a lewd act upon a child as defined in Section 16</w:t>
      </w:r>
      <w:r>
        <w:noBreakHyphen/>
        <w:t>15</w:t>
      </w:r>
      <w:r>
        <w:noBreakHyphen/>
        <w:t>140.”</w:t>
      </w:r>
    </w:p>
    <w:p w:rsidR="00E0777B" w:rsidRDefault="00E0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77B" w:rsidRDefault="00BF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21, Title 24 of the 1976 Code is amended by adding:</w:t>
      </w:r>
    </w:p>
    <w:p w:rsidR="00E0777B" w:rsidRDefault="00E0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77B" w:rsidRDefault="00BF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21</w:t>
      </w:r>
      <w:r>
        <w:noBreakHyphen/>
        <w:t>110.</w:t>
      </w:r>
      <w:r>
        <w:tab/>
        <w:t>(A)</w:t>
      </w:r>
      <w:r>
        <w:tab/>
        <w:t xml:space="preserve">In the event that the department lacks sufficient funds to operate the probation system, the department and the Division of Court Administration jointly may develop policies, procedures, guidelines, and cooperative agreements to implement early probation termination for carefully screened and selected probationers who have served a minimum of three months and have satisfied their restitution obligations and fine, fee, and assessment requirements.  </w:t>
      </w:r>
    </w:p>
    <w:p w:rsidR="00E0777B" w:rsidRDefault="00BF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department must petition the court of appropriate jurisdiction for consideration of the early termination of probation.  This court shall retain final discretion in the matter. </w:t>
      </w:r>
    </w:p>
    <w:p w:rsidR="00E0777B" w:rsidRDefault="00BF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probationer may not be considered for early probation termination under this section if he has been convicted of a violent crime as defined in Section 16</w:t>
      </w:r>
      <w:r>
        <w:noBreakHyphen/>
        <w:t>1</w:t>
      </w:r>
      <w:r>
        <w:noBreakHyphen/>
        <w:t>160, a ‘no parole offense’ as defined in Section 24</w:t>
      </w:r>
      <w:r>
        <w:noBreakHyphen/>
        <w:t>13</w:t>
      </w:r>
      <w:r>
        <w:noBreakHyphen/>
        <w:t>100, the crime of criminal sexual conduct in the third degree as defined in Section 16</w:t>
      </w:r>
      <w:r>
        <w:noBreakHyphen/>
        <w:t>3</w:t>
      </w:r>
      <w:r>
        <w:noBreakHyphen/>
        <w:t>654, or the crime of committing or attempting to commit a lewd act upon a child as defined in Section 16</w:t>
      </w:r>
      <w:r>
        <w:noBreakHyphen/>
        <w:t>15</w:t>
      </w:r>
      <w:r>
        <w:noBreakHyphen/>
        <w:t>140.”</w:t>
      </w:r>
    </w:p>
    <w:p w:rsidR="00E0777B" w:rsidRDefault="00E0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77B" w:rsidRDefault="00BF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0777B" w:rsidRDefault="00E0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77B" w:rsidRDefault="00BF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0777B" w:rsidRDefault="00E0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77B" w:rsidRDefault="00BF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E0777B" w:rsidRDefault="00BF0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777B" w:rsidRDefault="00E0777B">
      <w:pPr>
        <w:suppressAutoHyphens/>
      </w:pPr>
    </w:p>
    <w:sectPr w:rsidR="00E0777B" w:rsidSect="00E0777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777B" w:rsidRDefault="00BF0BF3">
      <w:r>
        <w:separator/>
      </w:r>
    </w:p>
  </w:endnote>
  <w:endnote w:type="continuationSeparator" w:id="0">
    <w:p w:rsidR="00E0777B" w:rsidRDefault="00BF0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F341A4-CE94-460B-A57C-C299709B4A20}"/>
    <w:embedBold r:id="rId2" w:fontKey="{F4E96BFE-DBBC-441D-971B-31FD46B8987F}"/>
  </w:font>
  <w:font w:name="Calibri">
    <w:panose1 w:val="020F0502020204030204"/>
    <w:charset w:val="00"/>
    <w:family w:val="swiss"/>
    <w:pitch w:val="variable"/>
    <w:sig w:usb0="E10002FF" w:usb1="4000ACFF" w:usb2="00000009" w:usb3="00000000" w:csb0="0000019F" w:csb1="00000000"/>
    <w:embedRegular r:id="rId3" w:fontKey="{D924653F-1D68-4360-BF8D-4B09AA6EAACD}"/>
  </w:font>
  <w:font w:name="Tahoma">
    <w:panose1 w:val="020B0604030504040204"/>
    <w:charset w:val="00"/>
    <w:family w:val="swiss"/>
    <w:pitch w:val="variable"/>
    <w:sig w:usb0="21002A87" w:usb1="80000000" w:usb2="00000008" w:usb3="00000000" w:csb0="000101FF" w:csb1="00000000"/>
    <w:embedRegular r:id="rId4" w:fontKey="{1214B851-091D-4627-B70D-D55C5CD23822}"/>
  </w:font>
  <w:font w:name="Cambria">
    <w:panose1 w:val="02040503050406030204"/>
    <w:charset w:val="00"/>
    <w:family w:val="roman"/>
    <w:pitch w:val="variable"/>
    <w:sig w:usb0="E00002FF" w:usb1="400004FF" w:usb2="00000000" w:usb3="00000000" w:csb0="0000019F" w:csb1="00000000"/>
    <w:embedRegular r:id="rId5" w:fontKey="{3C8D68BB-C6E3-416D-9E7E-FF6883BC39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77B" w:rsidRDefault="00BF0BF3">
    <w:pPr>
      <w:pStyle w:val="Footer"/>
      <w:tabs>
        <w:tab w:val="clear" w:pos="4680"/>
        <w:tab w:val="clear" w:pos="9360"/>
        <w:tab w:val="center" w:pos="2995"/>
      </w:tabs>
      <w:spacing w:before="120"/>
    </w:pPr>
    <w:r>
      <w:t>[726]</w:t>
    </w:r>
    <w:r>
      <w:tab/>
    </w:r>
    <w:r w:rsidR="00CB6098">
      <w:fldChar w:fldCharType="begin"/>
    </w:r>
    <w:r w:rsidR="00CB6098">
      <w:instrText xml:space="preserve"> PAGE  \* MERGEFORMAT </w:instrText>
    </w:r>
    <w:r w:rsidR="00CB6098">
      <w:fldChar w:fldCharType="separate"/>
    </w:r>
    <w:r w:rsidR="00CB6098">
      <w:rPr>
        <w:noProof/>
      </w:rPr>
      <w:t>1</w:t>
    </w:r>
    <w:r w:rsidR="00CB609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777B" w:rsidRDefault="00BF0BF3">
      <w:r>
        <w:separator/>
      </w:r>
    </w:p>
  </w:footnote>
  <w:footnote w:type="continuationSeparator" w:id="0">
    <w:p w:rsidR="00E0777B" w:rsidRDefault="00BF0B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399AB09"/>
    <w:docVar w:name="CoverBillType" w:val="b"/>
    <w:docVar w:name="docpath" w:val="L:\Council\bills\AGM\19399AB09.DOCX"/>
    <w:docVar w:name="dvBillNumber" w:val="726"/>
    <w:docVar w:name="dvBillNumberPrefix" w:val="S. "/>
    <w:docVar w:name="dvOriginalBody" w:val="Senate"/>
    <w:docVar w:name="dvSteno" w:val="AGM"/>
    <w:docVar w:name="NameofBody" w:val="s"/>
    <w:docVar w:name="vgroup2" w:val="Council"/>
  </w:docVars>
  <w:rsids>
    <w:rsidRoot w:val="00E0777B"/>
    <w:rsid w:val="00095D7F"/>
    <w:rsid w:val="003B56AB"/>
    <w:rsid w:val="00930BFD"/>
    <w:rsid w:val="00BF0BF3"/>
    <w:rsid w:val="00CB6098"/>
    <w:rsid w:val="00D47FBF"/>
    <w:rsid w:val="00E07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79FCCC9-D8D0-482C-9406-479A1978D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777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0777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777B"/>
    <w:rPr>
      <w:rFonts w:eastAsia="Times New Roman" w:cs="Times New Roman"/>
      <w:b/>
      <w:sz w:val="30"/>
      <w:szCs w:val="20"/>
    </w:rPr>
  </w:style>
  <w:style w:type="paragraph" w:styleId="Header">
    <w:name w:val="header"/>
    <w:basedOn w:val="Normal"/>
    <w:link w:val="HeaderChar"/>
    <w:uiPriority w:val="99"/>
    <w:semiHidden/>
    <w:unhideWhenUsed/>
    <w:rsid w:val="00E0777B"/>
    <w:pPr>
      <w:tabs>
        <w:tab w:val="center" w:pos="4320"/>
        <w:tab w:val="right" w:pos="8640"/>
      </w:tabs>
    </w:pPr>
  </w:style>
  <w:style w:type="character" w:customStyle="1" w:styleId="HeaderChar">
    <w:name w:val="Header Char"/>
    <w:basedOn w:val="DefaultParagraphFont"/>
    <w:link w:val="Header"/>
    <w:uiPriority w:val="99"/>
    <w:semiHidden/>
    <w:rsid w:val="00E0777B"/>
    <w:rPr>
      <w:rFonts w:eastAsia="Times New Roman" w:cs="Times New Roman"/>
      <w:szCs w:val="20"/>
    </w:rPr>
  </w:style>
  <w:style w:type="paragraph" w:styleId="Footer">
    <w:name w:val="footer"/>
    <w:basedOn w:val="Normal"/>
    <w:link w:val="FooterChar"/>
    <w:uiPriority w:val="99"/>
    <w:unhideWhenUsed/>
    <w:rsid w:val="00E0777B"/>
    <w:pPr>
      <w:tabs>
        <w:tab w:val="center" w:pos="4680"/>
        <w:tab w:val="right" w:pos="9360"/>
      </w:tabs>
    </w:pPr>
  </w:style>
  <w:style w:type="character" w:customStyle="1" w:styleId="FooterChar">
    <w:name w:val="Footer Char"/>
    <w:basedOn w:val="DefaultParagraphFont"/>
    <w:link w:val="Footer"/>
    <w:uiPriority w:val="99"/>
    <w:rsid w:val="00E0777B"/>
    <w:rPr>
      <w:rFonts w:eastAsia="Times New Roman" w:cs="Times New Roman"/>
      <w:szCs w:val="20"/>
    </w:rPr>
  </w:style>
  <w:style w:type="character" w:styleId="PageNumber">
    <w:name w:val="page number"/>
    <w:basedOn w:val="DefaultParagraphFont"/>
    <w:uiPriority w:val="99"/>
    <w:semiHidden/>
    <w:unhideWhenUsed/>
    <w:rsid w:val="00E0777B"/>
  </w:style>
  <w:style w:type="character" w:styleId="LineNumber">
    <w:name w:val="line number"/>
    <w:basedOn w:val="DefaultParagraphFont"/>
    <w:uiPriority w:val="99"/>
    <w:semiHidden/>
    <w:unhideWhenUsed/>
    <w:rsid w:val="00E0777B"/>
  </w:style>
  <w:style w:type="paragraph" w:customStyle="1" w:styleId="BillDots">
    <w:name w:val="BillDots"/>
    <w:basedOn w:val="Normal"/>
    <w:autoRedefine/>
    <w:qFormat/>
    <w:rsid w:val="00E0777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0777B"/>
    <w:pPr>
      <w:tabs>
        <w:tab w:val="right" w:pos="5904"/>
      </w:tabs>
    </w:pPr>
  </w:style>
  <w:style w:type="paragraph" w:styleId="BalloonText">
    <w:name w:val="Balloon Text"/>
    <w:basedOn w:val="Normal"/>
    <w:link w:val="BalloonTextChar"/>
    <w:uiPriority w:val="99"/>
    <w:semiHidden/>
    <w:unhideWhenUsed/>
    <w:rsid w:val="00E0777B"/>
    <w:rPr>
      <w:rFonts w:ascii="Tahoma" w:hAnsi="Tahoma" w:cs="Tahoma"/>
      <w:sz w:val="16"/>
      <w:szCs w:val="16"/>
    </w:rPr>
  </w:style>
  <w:style w:type="character" w:customStyle="1" w:styleId="BalloonTextChar">
    <w:name w:val="Balloon Text Char"/>
    <w:basedOn w:val="DefaultParagraphFont"/>
    <w:link w:val="BalloonText"/>
    <w:uiPriority w:val="99"/>
    <w:semiHidden/>
    <w:rsid w:val="00E0777B"/>
    <w:rPr>
      <w:rFonts w:ascii="Tahoma" w:eastAsia="Times New Roman" w:hAnsi="Tahoma" w:cs="Tahoma"/>
      <w:sz w:val="16"/>
      <w:szCs w:val="16"/>
    </w:rPr>
  </w:style>
  <w:style w:type="character" w:styleId="Hyperlink">
    <w:name w:val="Hyperlink"/>
    <w:basedOn w:val="DefaultParagraphFont"/>
    <w:uiPriority w:val="99"/>
    <w:unhideWhenUsed/>
    <w:rsid w:val="00E077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1-09.docx" TargetMode="External"/><Relationship Id="rId3" Type="http://schemas.openxmlformats.org/officeDocument/2006/relationships/settings" Target="settings.xml"/><Relationship Id="rId7" Type="http://schemas.openxmlformats.org/officeDocument/2006/relationships/hyperlink" Target="file:///h:\SJ%20Archive\2009\04-2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726_2009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AA968-6536-4F3D-9286-DBBE13494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896</Words>
  <Characters>4963</Characters>
  <Application>Microsoft Office Word</Application>
  <DocSecurity>0</DocSecurity>
  <Lines>146</Lines>
  <Paragraphs>30</Paragraphs>
  <ScaleCrop>false</ScaleCrop>
  <Company> </Company>
  <LinksUpToDate>false</LinksUpToDate>
  <CharactersWithSpaces>5845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726: Department of Probation, Pardon and Parole - South Carolina Legislature Online</dc:title>
  <dc:subject/>
  <dc:creator>ANGIE MORGAN</dc:creator>
  <cp:keywords/>
  <dc:description/>
  <cp:lastModifiedBy>N Cumfer</cp:lastModifiedBy>
  <cp:revision>8</cp:revision>
  <cp:lastPrinted>2009-04-20T19:47:00Z</cp:lastPrinted>
  <dcterms:created xsi:type="dcterms:W3CDTF">2009-04-21T16:29:00Z</dcterms:created>
  <dcterms:modified xsi:type="dcterms:W3CDTF">2014-11-24T15:04:00Z</dcterms:modified>
</cp:coreProperties>
</file>