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DEA" w:rsidRDefault="009B0624">
      <w:pPr>
        <w:widowControl w:val="0"/>
        <w:jc w:val="center"/>
        <w:rPr>
          <w:rFonts w:cs="Times New Roman"/>
        </w:rPr>
      </w:pPr>
      <w:bookmarkStart w:id="0" w:name="_GoBack"/>
      <w:bookmarkEnd w:id="0"/>
      <w:r>
        <w:rPr>
          <w:rFonts w:cs="Times New Roman"/>
          <w:b/>
        </w:rPr>
        <w:t>South Carolina General Assembly</w:t>
      </w:r>
    </w:p>
    <w:p w:rsidR="00046DEA" w:rsidRDefault="009B0624">
      <w:pPr>
        <w:widowControl w:val="0"/>
        <w:jc w:val="center"/>
        <w:rPr>
          <w:rFonts w:cs="Times New Roman"/>
        </w:rPr>
      </w:pPr>
      <w:r>
        <w:rPr>
          <w:rFonts w:cs="Times New Roman"/>
        </w:rPr>
        <w:t>118th Session, 2009-2010</w:t>
      </w:r>
    </w:p>
    <w:p w:rsidR="00046DEA" w:rsidRDefault="00046DEA">
      <w:pPr>
        <w:widowControl w:val="0"/>
        <w:jc w:val="left"/>
        <w:rPr>
          <w:rFonts w:cs="Times New Roman"/>
        </w:rPr>
      </w:pPr>
    </w:p>
    <w:p w:rsidR="00046DEA" w:rsidRDefault="009B0624">
      <w:pPr>
        <w:widowControl w:val="0"/>
        <w:jc w:val="left"/>
        <w:rPr>
          <w:rFonts w:cs="Times New Roman"/>
          <w:b/>
        </w:rPr>
      </w:pPr>
      <w:r>
        <w:rPr>
          <w:rFonts w:cs="Times New Roman"/>
          <w:b/>
        </w:rPr>
        <w:t>S. 73</w:t>
      </w:r>
    </w:p>
    <w:p w:rsidR="00046DEA" w:rsidRDefault="00046DEA">
      <w:pPr>
        <w:widowControl w:val="0"/>
        <w:jc w:val="left"/>
        <w:rPr>
          <w:rFonts w:cs="Times New Roman"/>
          <w:b/>
        </w:rPr>
      </w:pPr>
    </w:p>
    <w:p w:rsidR="00046DEA" w:rsidRDefault="009B0624">
      <w:pPr>
        <w:widowControl w:val="0"/>
        <w:jc w:val="left"/>
        <w:rPr>
          <w:rFonts w:cs="Times New Roman"/>
        </w:rPr>
      </w:pPr>
      <w:r>
        <w:rPr>
          <w:rFonts w:cs="Times New Roman"/>
          <w:b/>
        </w:rPr>
        <w:t>STATUS INFORMATION</w:t>
      </w:r>
    </w:p>
    <w:p w:rsidR="00046DEA" w:rsidRDefault="00046DEA">
      <w:pPr>
        <w:widowControl w:val="0"/>
        <w:jc w:val="left"/>
        <w:rPr>
          <w:rFonts w:cs="Times New Roman"/>
        </w:rPr>
      </w:pPr>
    </w:p>
    <w:p w:rsidR="00046DEA" w:rsidRDefault="009B0624">
      <w:pPr>
        <w:widowControl w:val="0"/>
        <w:jc w:val="left"/>
        <w:rPr>
          <w:rFonts w:cs="Times New Roman"/>
        </w:rPr>
      </w:pPr>
      <w:r>
        <w:rPr>
          <w:rFonts w:cs="Times New Roman"/>
        </w:rPr>
        <w:t>General Bill</w:t>
      </w:r>
    </w:p>
    <w:p w:rsidR="00046DEA" w:rsidRDefault="009B0624">
      <w:pPr>
        <w:widowControl w:val="0"/>
        <w:jc w:val="left"/>
        <w:rPr>
          <w:rFonts w:cs="Times New Roman"/>
        </w:rPr>
      </w:pPr>
      <w:r>
        <w:rPr>
          <w:rFonts w:cs="Times New Roman"/>
        </w:rPr>
        <w:t>Sponsors: Senator Ford</w:t>
      </w:r>
    </w:p>
    <w:p w:rsidR="00046DEA" w:rsidRDefault="009B0624">
      <w:pPr>
        <w:widowControl w:val="0"/>
        <w:jc w:val="left"/>
        <w:rPr>
          <w:rFonts w:cs="Times New Roman"/>
        </w:rPr>
      </w:pPr>
      <w:r>
        <w:rPr>
          <w:rFonts w:cs="Times New Roman"/>
        </w:rPr>
        <w:t>Document Path: l:\council\bills\nbd\11038ac09.docx</w:t>
      </w:r>
    </w:p>
    <w:p w:rsidR="00046DEA" w:rsidRDefault="009B0624">
      <w:pPr>
        <w:widowControl w:val="0"/>
        <w:jc w:val="left"/>
        <w:rPr>
          <w:rFonts w:cs="Times New Roman"/>
        </w:rPr>
      </w:pPr>
      <w:r>
        <w:rPr>
          <w:rFonts w:cs="Times New Roman"/>
        </w:rPr>
        <w:t>Companion/Similar bill(s): 39, 40, 75, 76</w:t>
      </w:r>
    </w:p>
    <w:p w:rsidR="00046DEA" w:rsidRDefault="00046DEA">
      <w:pPr>
        <w:widowControl w:val="0"/>
        <w:jc w:val="left"/>
        <w:rPr>
          <w:rFonts w:cs="Times New Roman"/>
        </w:rPr>
      </w:pPr>
    </w:p>
    <w:p w:rsidR="00046DEA" w:rsidRDefault="009B0624">
      <w:pPr>
        <w:widowControl w:val="0"/>
        <w:jc w:val="left"/>
        <w:rPr>
          <w:rFonts w:cs="Times New Roman"/>
        </w:rPr>
      </w:pPr>
      <w:r>
        <w:rPr>
          <w:rFonts w:cs="Times New Roman"/>
        </w:rPr>
        <w:t>Introduced in the Senate on January 13, 2009</w:t>
      </w:r>
    </w:p>
    <w:p w:rsidR="00046DEA" w:rsidRDefault="009B0624">
      <w:pPr>
        <w:widowControl w:val="0"/>
        <w:jc w:val="left"/>
        <w:rPr>
          <w:rFonts w:cs="Times New Roman"/>
        </w:rPr>
      </w:pPr>
      <w:r>
        <w:rPr>
          <w:rFonts w:cs="Times New Roman"/>
        </w:rPr>
        <w:t xml:space="preserve">Currently residing in the Senate Committee on </w:t>
      </w:r>
      <w:r>
        <w:rPr>
          <w:rFonts w:cs="Times New Roman"/>
          <w:b/>
        </w:rPr>
        <w:t>Judiciary</w:t>
      </w:r>
    </w:p>
    <w:p w:rsidR="00046DEA" w:rsidRDefault="00046DEA">
      <w:pPr>
        <w:widowControl w:val="0"/>
        <w:jc w:val="left"/>
        <w:rPr>
          <w:rFonts w:cs="Times New Roman"/>
        </w:rPr>
      </w:pPr>
    </w:p>
    <w:p w:rsidR="00046DEA" w:rsidRDefault="009B0624">
      <w:pPr>
        <w:widowControl w:val="0"/>
        <w:jc w:val="left"/>
        <w:rPr>
          <w:rFonts w:cs="Times New Roman"/>
        </w:rPr>
      </w:pPr>
      <w:r>
        <w:rPr>
          <w:rFonts w:cs="Times New Roman"/>
        </w:rPr>
        <w:t>Summary: Discrimination in employment</w:t>
      </w:r>
    </w:p>
    <w:p w:rsidR="00046DEA" w:rsidRDefault="00046DEA">
      <w:pPr>
        <w:widowControl w:val="0"/>
        <w:jc w:val="left"/>
        <w:rPr>
          <w:rFonts w:cs="Times New Roman"/>
        </w:rPr>
      </w:pPr>
    </w:p>
    <w:p w:rsidR="00046DEA" w:rsidRDefault="00046DEA">
      <w:pPr>
        <w:widowControl w:val="0"/>
        <w:jc w:val="left"/>
        <w:rPr>
          <w:rFonts w:cs="Times New Roman"/>
        </w:rPr>
      </w:pPr>
    </w:p>
    <w:p w:rsidR="00046DEA" w:rsidRDefault="009B0624">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46DEA" w:rsidRDefault="00046DEA">
      <w:pPr>
        <w:widowControl w:val="0"/>
        <w:tabs>
          <w:tab w:val="center" w:pos="590"/>
          <w:tab w:val="center" w:pos="1440"/>
          <w:tab w:val="left" w:pos="1872"/>
          <w:tab w:val="left" w:pos="9187"/>
        </w:tabs>
        <w:jc w:val="left"/>
        <w:rPr>
          <w:rFonts w:cs="Times New Roman"/>
        </w:rPr>
      </w:pPr>
    </w:p>
    <w:p w:rsidR="00046DEA" w:rsidRDefault="009B0624">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46DEA" w:rsidRDefault="009B062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46DEA" w:rsidRDefault="009B0624">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046DEA" w:rsidRDefault="009B062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63745">
          <w:rPr>
            <w:rStyle w:val="Hyperlink"/>
            <w:rFonts w:cs="Times New Roman"/>
          </w:rPr>
          <w:t>SJ</w:t>
        </w:r>
      </w:hyperlink>
      <w:r>
        <w:rPr>
          <w:rFonts w:cs="Times New Roman"/>
        </w:rPr>
        <w:noBreakHyphen/>
        <w:t>105</w:t>
      </w:r>
    </w:p>
    <w:p w:rsidR="00046DEA" w:rsidRDefault="009B0624">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63745">
          <w:rPr>
            <w:rStyle w:val="Hyperlink"/>
            <w:rFonts w:cs="Times New Roman"/>
          </w:rPr>
          <w:t>SJ</w:t>
        </w:r>
      </w:hyperlink>
      <w:r>
        <w:rPr>
          <w:rFonts w:cs="Times New Roman"/>
        </w:rPr>
        <w:noBreakHyphen/>
        <w:t>105</w:t>
      </w:r>
    </w:p>
    <w:p w:rsidR="00046DEA" w:rsidRDefault="00046DEA">
      <w:pPr>
        <w:widowControl w:val="0"/>
        <w:tabs>
          <w:tab w:val="right" w:pos="1008"/>
          <w:tab w:val="left" w:pos="1152"/>
          <w:tab w:val="left" w:pos="1872"/>
          <w:tab w:val="left" w:pos="9187"/>
        </w:tabs>
        <w:ind w:left="2088" w:hanging="2088"/>
        <w:jc w:val="left"/>
        <w:rPr>
          <w:rFonts w:cs="Times New Roman"/>
        </w:rPr>
      </w:pPr>
    </w:p>
    <w:p w:rsidR="00046DEA" w:rsidRDefault="00046DEA">
      <w:pPr>
        <w:widowControl w:val="0"/>
        <w:tabs>
          <w:tab w:val="right" w:pos="1008"/>
          <w:tab w:val="left" w:pos="1152"/>
          <w:tab w:val="left" w:pos="1872"/>
          <w:tab w:val="left" w:pos="9187"/>
        </w:tabs>
        <w:ind w:left="2088" w:hanging="2088"/>
        <w:jc w:val="left"/>
        <w:rPr>
          <w:rFonts w:cs="Times New Roman"/>
        </w:rPr>
      </w:pPr>
    </w:p>
    <w:p w:rsidR="00046DEA" w:rsidRDefault="009B0624">
      <w:pPr>
        <w:widowControl w:val="0"/>
        <w:jc w:val="left"/>
        <w:rPr>
          <w:rFonts w:cs="Times New Roman"/>
        </w:rPr>
      </w:pPr>
      <w:r>
        <w:rPr>
          <w:rFonts w:cs="Times New Roman"/>
          <w:b/>
        </w:rPr>
        <w:t>VERSIONS OF THIS BILL</w:t>
      </w:r>
    </w:p>
    <w:p w:rsidR="00046DEA" w:rsidRDefault="00046DEA">
      <w:pPr>
        <w:widowControl w:val="0"/>
        <w:jc w:val="left"/>
        <w:rPr>
          <w:rFonts w:cs="Times New Roman"/>
        </w:rPr>
      </w:pPr>
    </w:p>
    <w:p w:rsidR="00046DEA" w:rsidRDefault="00E9456B">
      <w:pPr>
        <w:widowControl w:val="0"/>
        <w:jc w:val="left"/>
        <w:rPr>
          <w:rFonts w:cs="Times New Roman"/>
        </w:rPr>
      </w:pPr>
      <w:hyperlink r:id="rId8" w:history="1">
        <w:r w:rsidR="009B0624">
          <w:rPr>
            <w:rStyle w:val="Hyperlink"/>
            <w:rFonts w:cs="Times New Roman"/>
          </w:rPr>
          <w:t>12/10/2008</w:t>
        </w:r>
      </w:hyperlink>
    </w:p>
    <w:p w:rsidR="00046DEA" w:rsidRDefault="00046DEA"/>
    <w:p w:rsidR="00046DEA" w:rsidRDefault="00046DEA">
      <w:pPr>
        <w:sectPr w:rsidR="00046DEA">
          <w:pgSz w:w="12240" w:h="15840" w:code="1"/>
          <w:pgMar w:top="1080" w:right="1440" w:bottom="1080" w:left="1440" w:header="720" w:footer="720" w:gutter="0"/>
          <w:cols w:space="720"/>
          <w:noEndnote/>
          <w:docGrid w:linePitch="360"/>
        </w:sectPr>
      </w:pPr>
    </w:p>
    <w:p w:rsidR="00046DEA" w:rsidRDefault="00046DE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SECTIONS 1</w:t>
      </w:r>
      <w:r>
        <w:rPr>
          <w:rFonts w:eastAsia="Times New Roman" w:cs="Times New Roman"/>
          <w:szCs w:val="20"/>
        </w:rPr>
        <w:noBreakHyphen/>
        <w:t>13</w:t>
      </w:r>
      <w:r>
        <w:rPr>
          <w:rFonts w:eastAsia="Times New Roman" w:cs="Times New Roman"/>
          <w:szCs w:val="20"/>
        </w:rPr>
        <w:noBreakHyphen/>
        <w:t>20, 1</w:t>
      </w:r>
      <w:r>
        <w:rPr>
          <w:rFonts w:eastAsia="Times New Roman" w:cs="Times New Roman"/>
          <w:szCs w:val="20"/>
        </w:rPr>
        <w:noBreakHyphen/>
        <w:t>13</w:t>
      </w:r>
      <w:r>
        <w:rPr>
          <w:rFonts w:eastAsia="Times New Roman" w:cs="Times New Roman"/>
          <w:szCs w:val="20"/>
        </w:rPr>
        <w:noBreakHyphen/>
        <w:t>30, 1</w:t>
      </w:r>
      <w:r>
        <w:rPr>
          <w:rFonts w:eastAsia="Times New Roman" w:cs="Times New Roman"/>
          <w:szCs w:val="20"/>
        </w:rPr>
        <w:noBreakHyphen/>
        <w:t>13</w:t>
      </w:r>
      <w:r>
        <w:rPr>
          <w:rFonts w:eastAsia="Times New Roman" w:cs="Times New Roman"/>
          <w:szCs w:val="20"/>
        </w:rPr>
        <w:noBreakHyphen/>
        <w:t>70, 1</w:t>
      </w:r>
      <w:r>
        <w:rPr>
          <w:rFonts w:eastAsia="Times New Roman" w:cs="Times New Roman"/>
          <w:szCs w:val="20"/>
        </w:rPr>
        <w:noBreakHyphen/>
        <w:t>13</w:t>
      </w:r>
      <w:r>
        <w:rPr>
          <w:rFonts w:eastAsia="Times New Roman" w:cs="Times New Roman"/>
          <w:szCs w:val="20"/>
        </w:rPr>
        <w:noBreakHyphen/>
        <w:t>80, 1</w:t>
      </w:r>
      <w:r>
        <w:rPr>
          <w:rFonts w:eastAsia="Times New Roman" w:cs="Times New Roman"/>
          <w:szCs w:val="20"/>
        </w:rPr>
        <w:noBreakHyphen/>
        <w:t>13</w:t>
      </w:r>
      <w:r>
        <w:rPr>
          <w:rFonts w:eastAsia="Times New Roman" w:cs="Times New Roman"/>
          <w:szCs w:val="20"/>
        </w:rPr>
        <w:noBreakHyphen/>
        <w:t>90, AS AMENDED, AND 1</w:t>
      </w:r>
      <w:r>
        <w:rPr>
          <w:rFonts w:eastAsia="Times New Roman" w:cs="Times New Roman"/>
          <w:szCs w:val="20"/>
        </w:rPr>
        <w:noBreakHyphen/>
        <w:t>13</w:t>
      </w:r>
      <w:r>
        <w:rPr>
          <w:rFonts w:eastAsia="Times New Roman" w:cs="Times New Roman"/>
          <w:szCs w:val="20"/>
        </w:rPr>
        <w:noBreakHyphen/>
        <w:t>100, CODE OF LAWS OF SOUTH CAROLINA, 1976, ALL RELATING TO PROHIBITING DISCRIMINATION IN EMPLOYMENT BECAUSE OF RACE, RELIGION, COLOR, SEX, AGE, NATIONAL ORIGIN, OR DISABILITY, SO AS TO ALSO PROHIBIT SUCH DISCRIMINATION BECAUSE OF SEXUAL ORIENTATION OR GENDER IDENTITY AND TO DEFINE “SEXUAL ORIENTATION” AND “GENDER IDENTITY”.</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20 of the 1976 Code is amended to read:</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This chapter is an expression of the concern of the State for the promotion of harmony and the betterment of human affairs.  The General Assembly declares the practice of discrimination against an individual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individual’s own ability and is degrading to human dignity.  The General Assembly further declares that to alleviate these problems a state agency is created which shall seek to eliminate and prevent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lastRenderedPageBreak/>
        <w:t>SECTION</w:t>
      </w:r>
      <w:r>
        <w:rPr>
          <w:rFonts w:eastAsia="Times New Roman" w:cs="Times New Roman"/>
          <w:bCs/>
          <w:szCs w:val="20"/>
        </w:rPr>
        <w:tab/>
        <w:t>2.</w:t>
      </w: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30 of the 1976 Code is amended by adding appropriately lettered items to read:</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‘Sexual orientation’ means heterosexuality, homosexuality, or bisexuality, whether actual or perceived.</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70(f) of the 1976 Code is amended to read:</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To create or recognize advisory agencies and conciliation councils, local, regional, or statewide, as will aid in effectuating the purposes of this chapter and of Section 3 of Article I of the Constitution of this State.  The commission may empower these agencies and councils to study problems of discrimination in all or specific fields of human affairs or in specific instances of discrimination because of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and to foster through community effort, or otherwise, goodwill, cooperation, and conciliation among the groups and elements of the population of the State.  These agencies and councils also may make recommendations to the commission for the development of policies and procedures in general and in specific instances and for programs of formal or informal education which the commission may in turn recommend to the appropriate state agency.  These advisory agencies and conciliation councils, as far as practicable, must be composed of representative citizens.”</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80(A), (B), (C), (E), (G), (I)(1), (3) and (6) of the 1976 Code are amended to read:</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an unlawful employment practice for an employer: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fail or refuse to hire, bar, discharge from employment or otherwise discriminate against an individual with respect to the individual’s compensation or terms, conditions, or privileges of employment because of the individual’s race, religion, color,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employees or applicants for employment in a way which would deprive or tend to deprive an individual of employment opportunities, or otherwise adversely affect the individual’s status as an employee,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reduce the wage rate of an employee in order to comply with the provisions of this chapter relating to age.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It is an unlawful employment practice for an employment agency to fail or refuse to refer for employment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or to classify or refer for employment an individual on the basis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It is an unlawful employment practice for a labor organization: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exclude or to expel from its membership or otherwise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individual’s status as an employee or as an applicant for employment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age, national origin, or disability;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to cause or attempt to cause an employer to discriminate against an individual in violation of this section. </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It is an unlawful employment practice for an employer, labor organization,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 xml:space="preserve">job training programs, to discriminate against an individual because of the individual’s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admission to or employment in a program established to provide apprenticeship or other training. </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It is an unlawful employment practice for an employer, labor organization, employment agency, or joint labor</w:t>
      </w:r>
      <w:r>
        <w:rPr>
          <w:rFonts w:eastAsia="Times New Roman" w:cs="Times New Roman"/>
          <w:szCs w:val="20"/>
        </w:rPr>
        <w:noBreakHyphen/>
        <w:t>management committee controlling apprenticeship or other training or retraining, including on</w:t>
      </w:r>
      <w:r>
        <w:rPr>
          <w:rFonts w:eastAsia="Times New Roman" w:cs="Times New Roman"/>
          <w:szCs w:val="20"/>
        </w:rPr>
        <w:noBreakHyphen/>
        <w:t>the</w:t>
      </w:r>
      <w:r>
        <w:rPr>
          <w:rFonts w:eastAsia="Times New Roman" w:cs="Times New Roman"/>
          <w:szCs w:val="20"/>
        </w:rPr>
        <w:noBreakHyphen/>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Pr>
          <w:rFonts w:eastAsia="Times New Roman" w:cs="Times New Roman"/>
          <w:szCs w:val="20"/>
        </w:rPr>
        <w:noBreakHyphen/>
        <w:t xml:space="preserve">management committee indicating a preference, limitation, specification, or discrimination based on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except that the notice or advertisement may indicate a preference, limitation, specification, or discrimination based on religion, sex, or national origin when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for employment. </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Pr>
          <w:rFonts w:eastAsia="Times New Roman" w:cs="Times New Roman"/>
          <w:szCs w:val="20"/>
        </w:rPr>
        <w:noBreakHyphen/>
        <w:t xml:space="preserve">management committee controlling apprenticeship or other training or retraining programs to admit or employ an individual in a program on the basis of the individual’s religion, sex, </w:t>
      </w:r>
      <w:r>
        <w:rPr>
          <w:rFonts w:eastAsia="Times New Roman" w:cs="Times New Roman"/>
          <w:szCs w:val="20"/>
          <w:u w:val="single"/>
        </w:rPr>
        <w:t>sexual orientation, gender identity,</w:t>
      </w:r>
      <w:r>
        <w:rPr>
          <w:rFonts w:eastAsia="Times New Roman" w:cs="Times New Roman"/>
          <w:szCs w:val="20"/>
        </w:rPr>
        <w:t xml:space="preserve"> or national origin in those certain instances where religion, sex, </w:t>
      </w:r>
      <w:r>
        <w:rPr>
          <w:rFonts w:eastAsia="Times New Roman" w:cs="Times New Roman"/>
          <w:szCs w:val="20"/>
          <w:u w:val="single"/>
        </w:rPr>
        <w:t>sexual orientation, gender identity,</w:t>
      </w:r>
      <w:r>
        <w:rPr>
          <w:rFonts w:eastAsia="Times New Roman" w:cs="Times New Roman"/>
          <w:szCs w:val="20"/>
        </w:rPr>
        <w:t xml:space="preserve"> or national origin is a bona fide occupational qualification reasonably necessary to the normal operation of that particular business or enterprise. </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rFonts w:eastAsia="Times New Roman" w:cs="Times New Roman"/>
          <w:szCs w:val="20"/>
          <w:u w:val="single"/>
        </w:rPr>
        <w:t>sexual orientation, gender identity,</w:t>
      </w:r>
      <w:r>
        <w:rPr>
          <w:rFonts w:eastAsia="Times New Roman" w:cs="Times New Roman"/>
          <w:szCs w:val="20"/>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 </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Nothing contained in this chapter may be interpreted to require an employer, employment agency, labor organization, or joint labor</w:t>
      </w:r>
      <w:r>
        <w:rPr>
          <w:rFonts w:eastAsia="Times New Roman" w:cs="Times New Roman"/>
          <w:szCs w:val="20"/>
        </w:rPr>
        <w:noBreakHyphen/>
        <w:t xml:space="preserve">management committee subject to this chapter to grant preferential treatment to an individual or to a group because of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of the individual or group on account of an imbalance which may exist with respect to the total number or percentage of persons of a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rFonts w:eastAsia="Times New Roman" w:cs="Times New Roman"/>
          <w:szCs w:val="20"/>
          <w:u w:val="single"/>
        </w:rPr>
        <w:t>sexual orientation, gender identity,</w:t>
      </w:r>
      <w:r>
        <w:rPr>
          <w:rFonts w:eastAsia="Times New Roman" w:cs="Times New Roman"/>
          <w:szCs w:val="20"/>
        </w:rPr>
        <w:t xml:space="preserve"> national origin, or disability in a community, state, section, or other area or in the available work force in a community, state, section, or other area.”</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90(d)(9) and (e) of the 1976 Code is amended to read:</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If the court finds that the respondent has intentionally engaged in or is intentionally engaging in an unlawful employment practice charged in the complaint, the court may enjoin the respondent from engaging in such unlawful employment practice, and order such affirmative action as may be appropriate, which may include, but is not limited to, reinstatement of hiring of employees, with or without back pay payable by the employer, employment agency, or labor organization, as the case may be, responsible for the unlawful employment practice or any other equitable relief as the court deems appropriate.  Back pay liability shall not accrue from a date more than two years prior to the filing of a charge with the Commission.  Unemployment compensation, interim earnings, or amount earnable with reasonable diligence, by the person or persons discriminated against shall operate to reduce the back pay otherwise allowable.  No order of the court shall require the admission or reinstatement of an individual as a member of a union, of the hiring, reinstatement, or promotion of an individual as an employee, or the payment to him of any back pay if such individual was refused admission, suspended or expelled, or was refused employment or advancement or was suspended or discharged for any reason other than discrimination on account of race, color, religion, sex, </w:t>
      </w:r>
      <w:r>
        <w:rPr>
          <w:rFonts w:eastAsia="Times New Roman" w:cs="Times New Roman"/>
          <w:szCs w:val="20"/>
          <w:u w:val="single"/>
        </w:rPr>
        <w:t>sexual orientation, gender identity,</w:t>
      </w:r>
      <w:r>
        <w:rPr>
          <w:rFonts w:eastAsia="Times New Roman" w:cs="Times New Roman"/>
          <w:szCs w:val="20"/>
        </w:rPr>
        <w:t xml:space="preserve"> age or national origin in violation of this chapter, or discrimination in violation of subsection (e) of Section 1</w:t>
      </w:r>
      <w:r>
        <w:rPr>
          <w:rFonts w:eastAsia="Times New Roman" w:cs="Times New Roman"/>
          <w:szCs w:val="20"/>
        </w:rPr>
        <w:noBreakHyphen/>
        <w:t>13</w:t>
      </w:r>
      <w:r>
        <w:rPr>
          <w:rFonts w:eastAsia="Times New Roman" w:cs="Times New Roman"/>
          <w:szCs w:val="20"/>
        </w:rPr>
        <w:noBreakHyphen/>
        <w:t xml:space="preserve">80.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For complaints of the existence or occurrence of a practice asserted to be discriminatory on the basis of race, religion, color, age, sex, </w:t>
      </w:r>
      <w:r>
        <w:rPr>
          <w:rFonts w:eastAsia="Times New Roman" w:cs="Times New Roman"/>
          <w:szCs w:val="20"/>
          <w:u w:val="single"/>
        </w:rPr>
        <w:t>sexual orientation, gender identity,</w:t>
      </w:r>
      <w:r>
        <w:rPr>
          <w:rFonts w:eastAsia="Times New Roman" w:cs="Times New Roman"/>
          <w:szCs w:val="20"/>
        </w:rPr>
        <w:t xml:space="preserve"> national origin, or disability, other than those discriminatory practices declared unlawful by Section 1</w:t>
      </w:r>
      <w:r>
        <w:rPr>
          <w:rFonts w:eastAsia="Times New Roman" w:cs="Times New Roman"/>
          <w:szCs w:val="20"/>
        </w:rPr>
        <w:noBreakHyphen/>
        <w:t>13</w:t>
      </w:r>
      <w:r>
        <w:rPr>
          <w:rFonts w:eastAsia="Times New Roman" w:cs="Times New Roman"/>
          <w:szCs w:val="20"/>
        </w:rPr>
        <w:noBreakHyphen/>
        <w:t xml:space="preserve">80, or of any other dispute regarding human affairs, the procedure of the commission is as follows: </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commissioner shall assign one or more of the commission’s employees or agents who may resolve the complaint by conference, conciliation, and persuasion with the complainant and the respondent, the resolution to be embodied in a conciliation agreement which shall include such provisions as are agreed upon by the complainant and the respondent.  If the employee or agent is unable after reasonable efforts to resolve the complaint, the employee or agent shall withdraw from the matter and not participate further and the commission file of the complaint must be closed.  If the complainant and the respondent thereafter resolve the complaint and submit a record of the resolution to the commission, the record must be entered into the commission file of the complaint.”</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1</w:t>
      </w:r>
      <w:r>
        <w:rPr>
          <w:rFonts w:eastAsia="Times New Roman" w:cs="Times New Roman"/>
          <w:szCs w:val="20"/>
        </w:rPr>
        <w:noBreakHyphen/>
        <w:t>13</w:t>
      </w:r>
      <w:r>
        <w:rPr>
          <w:rFonts w:eastAsia="Times New Roman" w:cs="Times New Roman"/>
          <w:szCs w:val="20"/>
        </w:rPr>
        <w:noBreakHyphen/>
        <w:t>100 of the 1976 Code is amended to read:</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13</w:t>
      </w:r>
      <w:r>
        <w:rPr>
          <w:rFonts w:eastAsia="Times New Roman" w:cs="Times New Roman"/>
          <w:bCs/>
          <w:szCs w:val="20"/>
        </w:rPr>
        <w:noBreakHyphen/>
        <w:t>100.</w:t>
      </w:r>
      <w:r>
        <w:rPr>
          <w:rFonts w:eastAsia="Times New Roman" w:cs="Times New Roman"/>
          <w:bCs/>
          <w:szCs w:val="20"/>
        </w:rPr>
        <w:tab/>
      </w:r>
      <w:r>
        <w:rPr>
          <w:rFonts w:eastAsia="Times New Roman" w:cs="Times New Roman"/>
          <w:szCs w:val="20"/>
        </w:rPr>
        <w:t>Nothing in this chapter may be construed to create a cause of action other than those specifically described in Section 1</w:t>
      </w:r>
      <w:r>
        <w:rPr>
          <w:rFonts w:eastAsia="Times New Roman" w:cs="Times New Roman"/>
          <w:szCs w:val="20"/>
        </w:rPr>
        <w:noBreakHyphen/>
        <w:t>13</w:t>
      </w:r>
      <w:r>
        <w:rPr>
          <w:rFonts w:eastAsia="Times New Roman" w:cs="Times New Roman"/>
          <w:szCs w:val="20"/>
        </w:rPr>
        <w:noBreakHyphen/>
        <w:t xml:space="preserve">90 of this chapter.  Nothing in this chapter may be construed to create a cause of action against a person not covered by Title VII of the Civil Rights Act of 1964, as amended, 42 U. S. C. Section 2000e et seq., if the cause of action arises from discrimination on the basis of race, color, religion, sex, </w:t>
      </w:r>
      <w:r>
        <w:rPr>
          <w:rFonts w:eastAsia="Times New Roman" w:cs="Times New Roman"/>
          <w:szCs w:val="20"/>
          <w:u w:val="single"/>
        </w:rPr>
        <w:t>sexual orientation, gender identity,</w:t>
      </w:r>
      <w:r>
        <w:rPr>
          <w:rFonts w:eastAsia="Times New Roman" w:cs="Times New Roman"/>
          <w:szCs w:val="20"/>
        </w:rPr>
        <w:t xml:space="preserve"> or national origin.  Nothing in this chapter may be construed to create a cause of action against a person not covered by the Age Discrimination in Employment Act of 1967, as amended, 29 U. S. C. Section 621 et seq., if the cause of action arises from discrimination on the basis of age.  Nothing in this chapter may be construed to create a cause of action against a person not covered by the Americans with Disabilities Act of 1990, as amended, Public Law 101</w:t>
      </w:r>
      <w:r>
        <w:rPr>
          <w:rFonts w:eastAsia="Times New Roman" w:cs="Times New Roman"/>
          <w:szCs w:val="20"/>
        </w:rPr>
        <w:noBreakHyphen/>
        <w:t>336.”</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6DEA" w:rsidRDefault="00046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This act takes effect upon approval by the Governor.</w:t>
      </w:r>
    </w:p>
    <w:p w:rsidR="00046DEA" w:rsidRDefault="009B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46DEA" w:rsidSect="00046D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DEA" w:rsidRDefault="009B0624">
      <w:r>
        <w:separator/>
      </w:r>
    </w:p>
  </w:endnote>
  <w:endnote w:type="continuationSeparator" w:id="0">
    <w:p w:rsidR="00046DEA" w:rsidRDefault="009B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0170D7-31C9-4AA6-BD4B-3255A41BF8ED}"/>
    <w:embedBold r:id="rId2" w:fontKey="{CEE14D97-0EEE-44CE-96FD-E812944D4242}"/>
  </w:font>
  <w:font w:name="Calibri">
    <w:panose1 w:val="020F0502020204030204"/>
    <w:charset w:val="00"/>
    <w:family w:val="swiss"/>
    <w:pitch w:val="variable"/>
    <w:sig w:usb0="E10002FF" w:usb1="4000ACFF" w:usb2="00000009" w:usb3="00000000" w:csb0="0000019F" w:csb1="00000000"/>
    <w:embedRegular r:id="rId3" w:fontKey="{676B8077-C511-4E9F-813D-9732CB8C65BC}"/>
    <w:embedBold r:id="rId4" w:fontKey="{F721AD50-7DAD-4FB5-8221-047302320F0B}"/>
  </w:font>
  <w:font w:name="Tahoma">
    <w:panose1 w:val="020B0604030504040204"/>
    <w:charset w:val="00"/>
    <w:family w:val="swiss"/>
    <w:pitch w:val="variable"/>
    <w:sig w:usb0="21002A87" w:usb1="80000000" w:usb2="00000008" w:usb3="00000000" w:csb0="000101FF" w:csb1="00000000"/>
    <w:embedRegular r:id="rId5" w:fontKey="{8224C9DD-DA8C-4A29-B315-446441E9F53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C7A71CD-2763-488C-95B9-B5283BA3CB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DEA" w:rsidRDefault="009B0624">
    <w:pPr>
      <w:pStyle w:val="Footer"/>
      <w:tabs>
        <w:tab w:val="clear" w:pos="4680"/>
        <w:tab w:val="clear" w:pos="9360"/>
        <w:tab w:val="center" w:pos="2995"/>
      </w:tabs>
      <w:spacing w:before="120"/>
    </w:pPr>
    <w:r>
      <w:t>[73]</w:t>
    </w:r>
    <w:r>
      <w:tab/>
    </w:r>
    <w:r w:rsidR="00E9456B">
      <w:fldChar w:fldCharType="begin"/>
    </w:r>
    <w:r w:rsidR="00E9456B">
      <w:instrText xml:space="preserve"> PAGE  \* MERGEFORMAT </w:instrText>
    </w:r>
    <w:r w:rsidR="00E9456B">
      <w:fldChar w:fldCharType="separate"/>
    </w:r>
    <w:r w:rsidR="00E9456B">
      <w:rPr>
        <w:noProof/>
      </w:rPr>
      <w:t>1</w:t>
    </w:r>
    <w:r w:rsidR="00E945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DEA" w:rsidRDefault="009B0624">
      <w:r>
        <w:separator/>
      </w:r>
    </w:p>
  </w:footnote>
  <w:footnote w:type="continuationSeparator" w:id="0">
    <w:p w:rsidR="00046DEA" w:rsidRDefault="009B0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46DEA"/>
    <w:rsid w:val="00046DEA"/>
    <w:rsid w:val="00395511"/>
    <w:rsid w:val="00663745"/>
    <w:rsid w:val="008059A9"/>
    <w:rsid w:val="009B0624"/>
    <w:rsid w:val="00CC3FA1"/>
    <w:rsid w:val="00E94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12691B-ED41-4B99-BF83-4D399BB35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46DEA"/>
    <w:rPr>
      <w:szCs w:val="21"/>
    </w:rPr>
  </w:style>
  <w:style w:type="character" w:customStyle="1" w:styleId="PlainTextChar">
    <w:name w:val="Plain Text Char"/>
    <w:basedOn w:val="DefaultParagraphFont"/>
    <w:link w:val="PlainText"/>
    <w:uiPriority w:val="99"/>
    <w:rsid w:val="00046DEA"/>
    <w:rPr>
      <w:szCs w:val="21"/>
    </w:rPr>
  </w:style>
  <w:style w:type="paragraph" w:styleId="BodyText">
    <w:name w:val="Body Text"/>
    <w:basedOn w:val="Normal"/>
    <w:link w:val="BodyTextChar"/>
    <w:uiPriority w:val="99"/>
    <w:locked/>
    <w:rsid w:val="00046DEA"/>
  </w:style>
  <w:style w:type="character" w:customStyle="1" w:styleId="BodyTextChar">
    <w:name w:val="Body Text Char"/>
    <w:basedOn w:val="DefaultParagraphFont"/>
    <w:link w:val="BodyText"/>
    <w:uiPriority w:val="99"/>
    <w:rsid w:val="00046DEA"/>
  </w:style>
  <w:style w:type="paragraph" w:styleId="BalloonText">
    <w:name w:val="Balloon Text"/>
    <w:next w:val="Normal"/>
    <w:link w:val="BalloonTextChar"/>
    <w:uiPriority w:val="99"/>
    <w:unhideWhenUsed/>
    <w:rsid w:val="00046DEA"/>
    <w:rPr>
      <w:rFonts w:cs="Tahoma"/>
      <w:szCs w:val="16"/>
    </w:rPr>
  </w:style>
  <w:style w:type="character" w:customStyle="1" w:styleId="BalloonTextChar">
    <w:name w:val="Balloon Text Char"/>
    <w:basedOn w:val="DefaultParagraphFont"/>
    <w:link w:val="BalloonText"/>
    <w:uiPriority w:val="99"/>
    <w:rsid w:val="00046DEA"/>
    <w:rPr>
      <w:rFonts w:cs="Tahoma"/>
      <w:szCs w:val="16"/>
    </w:rPr>
  </w:style>
  <w:style w:type="paragraph" w:styleId="NormalWeb">
    <w:name w:val="Normal (Web)"/>
    <w:basedOn w:val="Normal"/>
    <w:next w:val="Normal"/>
    <w:semiHidden/>
    <w:locked/>
    <w:rsid w:val="00046DE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46DE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46DEA"/>
    <w:rPr>
      <w:rFonts w:eastAsia="Times New Roman" w:cs="Times New Roman"/>
      <w:szCs w:val="20"/>
    </w:rPr>
  </w:style>
  <w:style w:type="paragraph" w:styleId="Header">
    <w:name w:val="header"/>
    <w:basedOn w:val="Normal"/>
    <w:link w:val="HeaderChar"/>
    <w:uiPriority w:val="99"/>
    <w:semiHidden/>
    <w:unhideWhenUsed/>
    <w:locked/>
    <w:rsid w:val="00046DEA"/>
    <w:pPr>
      <w:tabs>
        <w:tab w:val="center" w:pos="4680"/>
        <w:tab w:val="right" w:pos="9360"/>
      </w:tabs>
    </w:pPr>
  </w:style>
  <w:style w:type="character" w:customStyle="1" w:styleId="HeaderChar">
    <w:name w:val="Header Char"/>
    <w:basedOn w:val="DefaultParagraphFont"/>
    <w:link w:val="Header"/>
    <w:uiPriority w:val="99"/>
    <w:semiHidden/>
    <w:rsid w:val="00046DEA"/>
  </w:style>
  <w:style w:type="character" w:styleId="LineNumber">
    <w:name w:val="line number"/>
    <w:basedOn w:val="DefaultParagraphFont"/>
    <w:uiPriority w:val="99"/>
    <w:semiHidden/>
    <w:unhideWhenUsed/>
    <w:locked/>
    <w:rsid w:val="00046DEA"/>
  </w:style>
  <w:style w:type="character" w:styleId="Hyperlink">
    <w:name w:val="Hyperlink"/>
    <w:basedOn w:val="DefaultParagraphFont"/>
    <w:uiPriority w:val="99"/>
    <w:unhideWhenUsed/>
    <w:locked/>
    <w:rsid w:val="00046D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2496</Words>
  <Characters>13829</Characters>
  <Application>Microsoft Office Word</Application>
  <DocSecurity>0</DocSecurity>
  <Lines>324</Lines>
  <Paragraphs>54</Paragraphs>
  <ScaleCrop>false</ScaleCrop>
  <Company>Project Management</Company>
  <LinksUpToDate>false</LinksUpToDate>
  <CharactersWithSpaces>16341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 Discrimination in employment - South Carolina Legislature Online</dc:title>
  <dc:subject/>
  <dc:creator>NSC</dc:creator>
  <cp:keywords/>
  <dc:description/>
  <cp:lastModifiedBy>N Cumfer</cp:lastModifiedBy>
  <cp:revision>11</cp:revision>
  <dcterms:created xsi:type="dcterms:W3CDTF">2008-12-10T19:59:00Z</dcterms:created>
  <dcterms:modified xsi:type="dcterms:W3CDTF">2014-11-24T14:53:00Z</dcterms:modified>
</cp:coreProperties>
</file>