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C87" w:rsidRDefault="00860BB5">
      <w:pPr>
        <w:widowControl w:val="0"/>
        <w:jc w:val="center"/>
      </w:pPr>
      <w:bookmarkStart w:id="0" w:name="_GoBack"/>
      <w:bookmarkEnd w:id="0"/>
      <w:r>
        <w:rPr>
          <w:b/>
        </w:rPr>
        <w:t>South Carolina General Assembly</w:t>
      </w:r>
    </w:p>
    <w:p w:rsidR="009B0C87" w:rsidRDefault="00860BB5">
      <w:pPr>
        <w:widowControl w:val="0"/>
        <w:jc w:val="center"/>
      </w:pPr>
      <w:r>
        <w:t>118th Session, 2009-2010</w:t>
      </w:r>
    </w:p>
    <w:p w:rsidR="009B0C87" w:rsidRDefault="009B0C87">
      <w:pPr>
        <w:widowControl w:val="0"/>
      </w:pPr>
    </w:p>
    <w:p w:rsidR="009B0C87" w:rsidRDefault="00860BB5">
      <w:pPr>
        <w:widowControl w:val="0"/>
        <w:rPr>
          <w:b/>
        </w:rPr>
      </w:pPr>
      <w:r>
        <w:rPr>
          <w:b/>
        </w:rPr>
        <w:t>S. 741</w:t>
      </w:r>
    </w:p>
    <w:p w:rsidR="009B0C87" w:rsidRDefault="009B0C87">
      <w:pPr>
        <w:widowControl w:val="0"/>
        <w:rPr>
          <w:b/>
        </w:rPr>
      </w:pPr>
    </w:p>
    <w:p w:rsidR="009B0C87" w:rsidRDefault="00860BB5">
      <w:pPr>
        <w:widowControl w:val="0"/>
      </w:pPr>
      <w:r>
        <w:rPr>
          <w:b/>
        </w:rPr>
        <w:t>STATUS INFORMATION</w:t>
      </w:r>
    </w:p>
    <w:p w:rsidR="009B0C87" w:rsidRDefault="009B0C87">
      <w:pPr>
        <w:widowControl w:val="0"/>
      </w:pPr>
    </w:p>
    <w:p w:rsidR="009B0C87" w:rsidRDefault="00860BB5">
      <w:pPr>
        <w:widowControl w:val="0"/>
      </w:pPr>
      <w:r>
        <w:t>General Bill</w:t>
      </w:r>
    </w:p>
    <w:p w:rsidR="009B0C87" w:rsidRDefault="00A067E0">
      <w:pPr>
        <w:widowControl w:val="0"/>
      </w:pPr>
      <w:r>
        <w:t>Sponsors: Senators McConnell and Rose</w:t>
      </w:r>
    </w:p>
    <w:p w:rsidR="009B0C87" w:rsidRDefault="00860BB5">
      <w:pPr>
        <w:widowControl w:val="0"/>
      </w:pPr>
      <w:r>
        <w:t>Document Path: l:\s-jud\bills\mcconnell\jud0077.pb.docx</w:t>
      </w:r>
    </w:p>
    <w:p w:rsidR="009B0C87" w:rsidRDefault="009B0C87">
      <w:pPr>
        <w:widowControl w:val="0"/>
      </w:pPr>
    </w:p>
    <w:p w:rsidR="009B0C87" w:rsidRDefault="00860BB5">
      <w:pPr>
        <w:widowControl w:val="0"/>
      </w:pPr>
      <w:r>
        <w:t>Introduced in the Senate on April 22, 2009</w:t>
      </w:r>
    </w:p>
    <w:p w:rsidR="009B0C87" w:rsidRDefault="00860BB5">
      <w:pPr>
        <w:widowControl w:val="0"/>
      </w:pPr>
      <w:r>
        <w:t>Currently residing in the Senate</w:t>
      </w:r>
    </w:p>
    <w:p w:rsidR="009B0C87" w:rsidRDefault="009B0C87">
      <w:pPr>
        <w:widowControl w:val="0"/>
      </w:pPr>
    </w:p>
    <w:p w:rsidR="009B0C87" w:rsidRDefault="00860BB5">
      <w:pPr>
        <w:widowControl w:val="0"/>
      </w:pPr>
      <w:r>
        <w:t>Summary: Workers' compensation insurance</w:t>
      </w:r>
    </w:p>
    <w:p w:rsidR="009B0C87" w:rsidRDefault="009B0C87">
      <w:pPr>
        <w:widowControl w:val="0"/>
      </w:pPr>
    </w:p>
    <w:p w:rsidR="009B0C87" w:rsidRDefault="009B0C87">
      <w:pPr>
        <w:widowControl w:val="0"/>
      </w:pPr>
    </w:p>
    <w:p w:rsidR="009B0C87" w:rsidRDefault="00860BB5">
      <w:pPr>
        <w:widowControl w:val="0"/>
        <w:tabs>
          <w:tab w:val="center" w:pos="590"/>
          <w:tab w:val="center" w:pos="1440"/>
          <w:tab w:val="left" w:pos="1872"/>
          <w:tab w:val="left" w:pos="9187"/>
        </w:tabs>
      </w:pPr>
      <w:r>
        <w:rPr>
          <w:b/>
        </w:rPr>
        <w:t>HISTORY OF LEGISLATIVE ACTIONS</w:t>
      </w:r>
    </w:p>
    <w:p w:rsidR="009B0C87" w:rsidRDefault="009B0C87">
      <w:pPr>
        <w:widowControl w:val="0"/>
        <w:tabs>
          <w:tab w:val="center" w:pos="590"/>
          <w:tab w:val="center" w:pos="1440"/>
          <w:tab w:val="left" w:pos="1872"/>
          <w:tab w:val="left" w:pos="9187"/>
        </w:tabs>
      </w:pPr>
    </w:p>
    <w:p w:rsidR="009B0C87" w:rsidRDefault="00860BB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B0C87" w:rsidRDefault="00860BB5">
      <w:pPr>
        <w:widowControl w:val="0"/>
        <w:tabs>
          <w:tab w:val="right" w:pos="1008"/>
          <w:tab w:val="left" w:pos="1152"/>
          <w:tab w:val="left" w:pos="1872"/>
          <w:tab w:val="left" w:pos="9187"/>
        </w:tabs>
        <w:ind w:left="2088" w:hanging="2088"/>
      </w:pPr>
      <w:r>
        <w:tab/>
        <w:t>4/22/2009</w:t>
      </w:r>
      <w:r>
        <w:tab/>
        <w:t>Senate</w:t>
      </w:r>
      <w:r>
        <w:tab/>
        <w:t xml:space="preserve">Introduced and read first time </w:t>
      </w:r>
      <w:hyperlink r:id="rId6" w:history="1">
        <w:r w:rsidRPr="007148BE">
          <w:rPr>
            <w:rStyle w:val="Hyperlink"/>
          </w:rPr>
          <w:t>SJ</w:t>
        </w:r>
      </w:hyperlink>
      <w:r>
        <w:noBreakHyphen/>
        <w:t>2</w:t>
      </w:r>
    </w:p>
    <w:p w:rsidR="009B0C87" w:rsidRDefault="00860BB5">
      <w:pPr>
        <w:widowControl w:val="0"/>
        <w:tabs>
          <w:tab w:val="right" w:pos="1008"/>
          <w:tab w:val="left" w:pos="1152"/>
          <w:tab w:val="left" w:pos="1872"/>
          <w:tab w:val="left" w:pos="9187"/>
        </w:tabs>
        <w:ind w:left="2088" w:hanging="2088"/>
      </w:pPr>
      <w:r>
        <w:tab/>
        <w:t>4/22/2009</w:t>
      </w:r>
      <w:r>
        <w:tab/>
        <w:t>Senate</w:t>
      </w:r>
      <w:r>
        <w:tab/>
        <w:t xml:space="preserve">Referred to Committee on </w:t>
      </w:r>
      <w:r>
        <w:rPr>
          <w:b/>
        </w:rPr>
        <w:t>Banking and Insurance</w:t>
      </w:r>
      <w:r>
        <w:t xml:space="preserve"> </w:t>
      </w:r>
      <w:hyperlink r:id="rId7" w:history="1">
        <w:r w:rsidRPr="007148BE">
          <w:rPr>
            <w:rStyle w:val="Hyperlink"/>
          </w:rPr>
          <w:t>SJ</w:t>
        </w:r>
      </w:hyperlink>
      <w:r>
        <w:noBreakHyphen/>
        <w:t>2</w:t>
      </w:r>
    </w:p>
    <w:p w:rsidR="009B0C87" w:rsidRDefault="00860BB5">
      <w:pPr>
        <w:widowControl w:val="0"/>
        <w:tabs>
          <w:tab w:val="right" w:pos="1008"/>
          <w:tab w:val="left" w:pos="1152"/>
          <w:tab w:val="left" w:pos="1872"/>
          <w:tab w:val="left" w:pos="9187"/>
        </w:tabs>
        <w:ind w:left="2088" w:hanging="2088"/>
      </w:pPr>
      <w:r>
        <w:tab/>
        <w:t>5/5/2009</w:t>
      </w:r>
      <w:r>
        <w:tab/>
        <w:t>Senate</w:t>
      </w:r>
      <w:r>
        <w:tab/>
        <w:t xml:space="preserve">Committee report: Favorable </w:t>
      </w:r>
      <w:r>
        <w:rPr>
          <w:b/>
        </w:rPr>
        <w:t>Banking and Insurance</w:t>
      </w:r>
      <w:r>
        <w:t xml:space="preserve"> </w:t>
      </w:r>
      <w:hyperlink r:id="rId8" w:history="1">
        <w:r w:rsidRPr="007148BE">
          <w:rPr>
            <w:rStyle w:val="Hyperlink"/>
          </w:rPr>
          <w:t>SJ</w:t>
        </w:r>
      </w:hyperlink>
      <w:r>
        <w:noBreakHyphen/>
        <w:t>14</w:t>
      </w:r>
    </w:p>
    <w:p w:rsidR="009B0C87" w:rsidRDefault="00860BB5">
      <w:pPr>
        <w:widowControl w:val="0"/>
        <w:tabs>
          <w:tab w:val="right" w:pos="1008"/>
          <w:tab w:val="left" w:pos="1152"/>
          <w:tab w:val="left" w:pos="1872"/>
          <w:tab w:val="left" w:pos="9187"/>
        </w:tabs>
        <w:ind w:left="2088" w:hanging="2088"/>
      </w:pPr>
      <w:r>
        <w:tab/>
        <w:t>5/6/2009</w:t>
      </w:r>
      <w:r>
        <w:tab/>
      </w:r>
      <w:r>
        <w:tab/>
        <w:t>Scrivener's error corrected</w:t>
      </w:r>
    </w:p>
    <w:p w:rsidR="009B0C87" w:rsidRDefault="009B0C87">
      <w:pPr>
        <w:widowControl w:val="0"/>
        <w:tabs>
          <w:tab w:val="right" w:pos="1008"/>
          <w:tab w:val="left" w:pos="1152"/>
          <w:tab w:val="left" w:pos="1872"/>
          <w:tab w:val="left" w:pos="9187"/>
        </w:tabs>
        <w:ind w:left="2088" w:hanging="2088"/>
      </w:pPr>
    </w:p>
    <w:p w:rsidR="009B0C87" w:rsidRDefault="009B0C87">
      <w:pPr>
        <w:widowControl w:val="0"/>
        <w:tabs>
          <w:tab w:val="right" w:pos="1008"/>
          <w:tab w:val="left" w:pos="1152"/>
          <w:tab w:val="left" w:pos="1872"/>
          <w:tab w:val="left" w:pos="9187"/>
        </w:tabs>
        <w:ind w:left="2088" w:hanging="2088"/>
      </w:pPr>
    </w:p>
    <w:p w:rsidR="009B0C87" w:rsidRDefault="00860BB5">
      <w:pPr>
        <w:widowControl w:val="0"/>
      </w:pPr>
      <w:r>
        <w:rPr>
          <w:b/>
        </w:rPr>
        <w:t>VERSIONS OF THIS BILL</w:t>
      </w:r>
    </w:p>
    <w:p w:rsidR="009B0C87" w:rsidRDefault="009B0C87">
      <w:pPr>
        <w:widowControl w:val="0"/>
      </w:pPr>
    </w:p>
    <w:p w:rsidR="009B0C87" w:rsidRDefault="005667DE">
      <w:pPr>
        <w:widowControl w:val="0"/>
      </w:pPr>
      <w:hyperlink r:id="rId9" w:history="1">
        <w:r w:rsidR="00860BB5">
          <w:rPr>
            <w:rStyle w:val="Hyperlink"/>
          </w:rPr>
          <w:t>4/22/2009</w:t>
        </w:r>
      </w:hyperlink>
    </w:p>
    <w:p w:rsidR="009B0C87" w:rsidRDefault="005667DE">
      <w:hyperlink r:id="rId10" w:history="1">
        <w:r w:rsidR="00860BB5">
          <w:rPr>
            <w:rStyle w:val="Hyperlink"/>
          </w:rPr>
          <w:t>5/5/2009</w:t>
        </w:r>
      </w:hyperlink>
    </w:p>
    <w:p w:rsidR="009B0C87" w:rsidRDefault="005667DE">
      <w:hyperlink r:id="rId11" w:history="1">
        <w:r w:rsidR="00860BB5">
          <w:rPr>
            <w:rStyle w:val="Hyperlink"/>
          </w:rPr>
          <w:t>5/6/2009</w:t>
        </w:r>
      </w:hyperlink>
    </w:p>
    <w:p w:rsidR="009B0C87" w:rsidRDefault="009B0C87"/>
    <w:p w:rsidR="009B0C87" w:rsidRDefault="009B0C87">
      <w:pPr>
        <w:sectPr w:rsidR="009B0C87">
          <w:pgSz w:w="12240" w:h="15840" w:code="1"/>
          <w:pgMar w:top="1080" w:right="1440" w:bottom="1080" w:left="1440" w:header="720" w:footer="720" w:gutter="0"/>
          <w:cols w:space="720"/>
          <w:noEndnote/>
          <w:docGrid w:linePitch="360"/>
        </w:sect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2009</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right" w:pos="5933"/>
        </w:tabs>
        <w:suppressAutoHyphens/>
        <w:jc w:val="both"/>
        <w:rPr>
          <w:rFonts w:eastAsia="Times New Roman"/>
        </w:rPr>
      </w:pPr>
      <w:r>
        <w:rPr>
          <w:rFonts w:eastAsia="Times New Roman"/>
        </w:rPr>
        <w:tab/>
      </w:r>
      <w:r>
        <w:rPr>
          <w:rFonts w:eastAsia="Times New Roman"/>
          <w:b/>
          <w:sz w:val="36"/>
        </w:rPr>
        <w:t>S. 741</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McConnell</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right" w:pos="5933"/>
        </w:tabs>
        <w:suppressAutoHyphens/>
        <w:jc w:val="both"/>
        <w:rPr>
          <w:rFonts w:eastAsia="Times New Roman"/>
        </w:rPr>
      </w:pPr>
      <w:r>
        <w:rPr>
          <w:rFonts w:eastAsia="Times New Roman"/>
        </w:rPr>
        <w:t>S. Printed 5/5/09--S.</w:t>
      </w:r>
      <w:r>
        <w:rPr>
          <w:rFonts w:eastAsia="Times New Roman"/>
        </w:rPr>
        <w:tab/>
        <w:t>[SEC 5/6/09 12:15 PM]</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22, 2009.</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741) </w:t>
      </w:r>
      <w:r>
        <w:rPr>
          <w:color w:val="000000" w:themeColor="text1"/>
          <w:u w:color="000000" w:themeColor="text1"/>
        </w:rPr>
        <w:t>to amend Section 38</w:t>
      </w:r>
      <w:r>
        <w:rPr>
          <w:color w:val="000000" w:themeColor="text1"/>
          <w:u w:color="000000" w:themeColor="text1"/>
        </w:rPr>
        <w:noBreakHyphen/>
        <w:t>73</w:t>
      </w:r>
      <w:r>
        <w:rPr>
          <w:color w:val="000000" w:themeColor="text1"/>
          <w:u w:color="000000" w:themeColor="text1"/>
        </w:rPr>
        <w:noBreakHyphen/>
        <w:t>910, Code of Laws of South Carolina, 1976, relating to notice of a hearing as a prerequisite to granting of a rate increase</w:t>
      </w:r>
      <w:r>
        <w:rPr>
          <w:rFonts w:eastAsia="Times New Roman"/>
        </w:rPr>
        <w:t>, etc., respectfully</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L. THOMAS for Committee.</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GENERAL FUND EXPENDITURES:</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A Cost to the General Fund (See Below)</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FEDERAL &amp; OTHER FUND EXPENDITURES:</w:t>
      </w:r>
    </w:p>
    <w:p w:rsidR="009B0C87" w:rsidRDefault="00860BB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t>$0 (No additional expenditures or savings are expected)</w:t>
      </w:r>
      <w:bookmarkStart w:id="3" w:name="c"/>
      <w:bookmarkEnd w:id="3"/>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EXPLANATION OF IMPACT:</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4" w:name="i"/>
      <w:bookmarkEnd w:id="4"/>
      <w:r>
        <w:rPr>
          <w:u w:val="single"/>
        </w:rPr>
        <w:t>Department of Insurance</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The actual impact on the department will depend on the number of rate decreases approved and the number of hearings requested.  Although the department does not anticipate the need for additional full time staff the impact on expenditures can be estimated at $75,000 annually in state general funds.  These costs include publishing notices of hearings in newspapers of general, </w:t>
      </w:r>
      <w:r>
        <w:lastRenderedPageBreak/>
        <w:t>statewide circulation; and hiring an outside actuary to analyze the rate filing and testify on the filing in the case of a hearing.</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val="single"/>
        </w:rPr>
        <w:t>Workers' Compensation Commission &amp; Administrative Law Court</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Both agencies report this bill will have no impact on the General Fund of the State or on federal and/or other funds.</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3024"/>
        </w:tabs>
        <w:suppressAutoHyphens/>
        <w:jc w:val="both"/>
        <w:rPr>
          <w:rFonts w:eastAsia="Times New Roman"/>
        </w:rPr>
      </w:pPr>
      <w:r>
        <w:rPr>
          <w:rFonts w:eastAsia="Times New Roman"/>
        </w:rPr>
        <w:tab/>
      </w:r>
      <w:r>
        <w:rPr>
          <w:rFonts w:eastAsia="Times New Roman"/>
          <w:i/>
        </w:rPr>
        <w:t>Approved By:</w:t>
      </w:r>
    </w:p>
    <w:p w:rsidR="009B0C87" w:rsidRDefault="00860BB5">
      <w:pPr>
        <w:tabs>
          <w:tab w:val="left" w:pos="3024"/>
        </w:tabs>
        <w:suppressAutoHyphens/>
        <w:jc w:val="both"/>
        <w:rPr>
          <w:rFonts w:eastAsia="Times New Roman"/>
        </w:rPr>
      </w:pPr>
      <w:r>
        <w:rPr>
          <w:rFonts w:eastAsia="Times New Roman"/>
        </w:rPr>
        <w:tab/>
        <w:t>Harry Bell</w:t>
      </w:r>
    </w:p>
    <w:p w:rsidR="009B0C87" w:rsidRDefault="00860BB5">
      <w:pPr>
        <w:tabs>
          <w:tab w:val="left" w:pos="3024"/>
        </w:tabs>
        <w:suppressAutoHyphens/>
        <w:jc w:val="both"/>
        <w:rPr>
          <w:rFonts w:eastAsia="Times New Roman"/>
        </w:rPr>
      </w:pPr>
      <w:r>
        <w:rPr>
          <w:rFonts w:eastAsia="Times New Roman"/>
        </w:rPr>
        <w:tab/>
        <w:t>Office of State Budget</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0C8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Pr>
          <w:color w:val="000000" w:themeColor="text1"/>
          <w:u w:color="000000" w:themeColor="text1"/>
        </w:rPr>
        <w:t>TO AMEND SECTION 38</w:t>
      </w:r>
      <w:r>
        <w:rPr>
          <w:color w:val="000000" w:themeColor="text1"/>
          <w:u w:color="000000" w:themeColor="text1"/>
        </w:rPr>
        <w:noBreakHyphen/>
        <w:t>73</w:t>
      </w:r>
      <w:r>
        <w:rPr>
          <w:color w:val="000000" w:themeColor="text1"/>
          <w:u w:color="000000" w:themeColor="text1"/>
        </w:rPr>
        <w:noBreakHyphen/>
        <w:t>910, CODE OF LAWS OF SOUTH CAROLINA, 1976, RELATING TO NOTICE OF A HEARING AS A PREREQUISITE TO GRANTING OF A RATE INCREASE, SO AS TO PROVIDE THAT A HEARING MUST BE HELD AS A PREREQUISITE TO GRANTING ANY RATE CHANGE, WHETHER AN INCREASE OR A DECREASE.</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Subsection (A) of Section 38-73-910 of the 1976 Code is amended to read:</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87" w:rsidRDefault="00860BB5">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Pr>
          <w:strike/>
          <w:color w:val="000000" w:themeColor="text1"/>
          <w:u w:color="000000" w:themeColor="text1"/>
        </w:rPr>
        <w:t>An increase</w:t>
      </w:r>
      <w:r>
        <w:rPr>
          <w:color w:val="000000" w:themeColor="text1"/>
          <w:u w:color="000000" w:themeColor="text1"/>
        </w:rPr>
        <w:t xml:space="preserve"> </w:t>
      </w:r>
      <w:r>
        <w:rPr>
          <w:color w:val="000000" w:themeColor="text1"/>
          <w:u w:val="single" w:color="000000" w:themeColor="text1"/>
        </w:rPr>
        <w:t>A change</w:t>
      </w:r>
      <w:r>
        <w:rPr>
          <w:color w:val="000000" w:themeColor="text1"/>
          <w:u w:color="000000" w:themeColor="text1"/>
        </w:rPr>
        <w:t xml:space="preserve"> in the premium rates may not be granted for workers’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insurer’s proposed effective date of the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in premium rates.  The notice must state the amount of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the change</w:t>
      </w:r>
      <w:r>
        <w:rPr>
          <w:color w:val="000000" w:themeColor="text1"/>
          <w:u w:color="000000" w:themeColor="text1"/>
        </w:rPr>
        <w:t xml:space="preserve">, the type and line of coverage, and the proposed effective date and must allow any insured or affected party to request within fifteen days a public hearing upon the propriety of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request before the Administrative Law Judge Division.  A copy of the notice must be sent to the Consumer Advocate. </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However, the requirements of public notices and public hearings in this section do not apply to applications for rate </w:t>
      </w:r>
      <w:r>
        <w:rPr>
          <w:strike/>
          <w:color w:val="000000" w:themeColor="text1"/>
          <w:u w:color="000000" w:themeColor="text1"/>
        </w:rPr>
        <w:t>increases</w:t>
      </w:r>
      <w:r>
        <w:rPr>
          <w:color w:val="000000" w:themeColor="text1"/>
          <w:u w:color="000000" w:themeColor="text1"/>
        </w:rPr>
        <w:t xml:space="preserve"> </w:t>
      </w:r>
      <w:r>
        <w:rPr>
          <w:color w:val="000000" w:themeColor="text1"/>
          <w:u w:val="single" w:color="000000" w:themeColor="text1"/>
        </w:rPr>
        <w:t>changes</w:t>
      </w:r>
      <w:r>
        <w:rPr>
          <w:color w:val="000000" w:themeColor="text1"/>
          <w:u w:color="000000" w:themeColor="text1"/>
        </w:rPr>
        <w:t xml:space="preserve"> when the applicant insurer had earned premiums in this State in the previous calendar year of less than two million dollars for the line or type of insurance for which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is sought or, if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is sought by a modeling organization, the earned premiums in this State for all members and subscribers of the organization for whom </w:t>
      </w:r>
      <w:r>
        <w:rPr>
          <w:strike/>
          <w:color w:val="000000" w:themeColor="text1"/>
          <w:u w:color="000000" w:themeColor="text1"/>
        </w:rPr>
        <w:t>an increase</w:t>
      </w:r>
      <w:r>
        <w:rPr>
          <w:color w:val="000000" w:themeColor="text1"/>
          <w:u w:color="000000" w:themeColor="text1"/>
        </w:rPr>
        <w:t xml:space="preserve"> </w:t>
      </w:r>
      <w:r>
        <w:rPr>
          <w:color w:val="000000" w:themeColor="text1"/>
          <w:u w:val="single" w:color="000000" w:themeColor="text1"/>
        </w:rPr>
        <w:t>a change</w:t>
      </w:r>
      <w:r>
        <w:rPr>
          <w:color w:val="000000" w:themeColor="text1"/>
          <w:u w:color="000000" w:themeColor="text1"/>
        </w:rPr>
        <w:t xml:space="preserve"> is sought were less than two million dollars for the previous calendar year for the line or type of insurance for which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is sought.  The two million dollars must be increased by a factor equal to the increase in the consumer price index, all items, every three years.”</w:t>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B0C87" w:rsidRDefault="0086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0C87" w:rsidRDefault="009B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B0C87" w:rsidSect="009B0C8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C87" w:rsidRDefault="00860BB5">
      <w:r>
        <w:separator/>
      </w:r>
    </w:p>
  </w:endnote>
  <w:endnote w:type="continuationSeparator" w:id="0">
    <w:p w:rsidR="009B0C87" w:rsidRDefault="00860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E786E2-CAE1-46C1-A514-AFA1E2EF238F}"/>
    <w:embedBold r:id="rId2" w:fontKey="{E18A921B-6873-46D1-A0E8-2FF2BEA799DC}"/>
    <w:embedItalic r:id="rId3" w:fontKey="{D1E8E3F1-5924-4B80-A889-E02D46BFE911}"/>
  </w:font>
  <w:font w:name="Calibri">
    <w:panose1 w:val="020F0502020204030204"/>
    <w:charset w:val="00"/>
    <w:family w:val="swiss"/>
    <w:pitch w:val="variable"/>
    <w:sig w:usb0="E10002FF" w:usb1="4000ACFF" w:usb2="00000009" w:usb3="00000000" w:csb0="0000019F" w:csb1="00000000"/>
    <w:embedRegular r:id="rId4" w:fontKey="{BE988749-D23D-44F7-AEEF-9680374792D3}"/>
    <w:embedBold r:id="rId5" w:fontKey="{C469D266-9A8C-4A2C-8093-813985D1F223}"/>
  </w:font>
  <w:font w:name="Cambria">
    <w:panose1 w:val="02040503050406030204"/>
    <w:charset w:val="00"/>
    <w:family w:val="roman"/>
    <w:pitch w:val="variable"/>
    <w:sig w:usb0="E00002FF" w:usb1="400004FF" w:usb2="00000000" w:usb3="00000000" w:csb0="0000019F" w:csb1="00000000"/>
    <w:embedRegular r:id="rId6" w:fontKey="{DCAEA876-8A48-4F0D-A7A0-9EDE395E49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C87" w:rsidRDefault="00860BB5">
    <w:pPr>
      <w:pStyle w:val="Footer"/>
      <w:tabs>
        <w:tab w:val="clear" w:pos="4680"/>
        <w:tab w:val="clear" w:pos="9360"/>
        <w:tab w:val="center" w:pos="2995"/>
      </w:tabs>
      <w:spacing w:before="120"/>
    </w:pPr>
    <w:r>
      <w:t>[741-</w:t>
    </w:r>
    <w:r w:rsidR="005667DE">
      <w:fldChar w:fldCharType="begin"/>
    </w:r>
    <w:r w:rsidR="005667DE">
      <w:instrText xml:space="preserve"> PAGE  \* MERGEFORMAT </w:instrText>
    </w:r>
    <w:r w:rsidR="005667DE">
      <w:fldChar w:fldCharType="separate"/>
    </w:r>
    <w:r w:rsidR="005667DE">
      <w:rPr>
        <w:noProof/>
      </w:rPr>
      <w:t>1</w:t>
    </w:r>
    <w:r w:rsidR="005667D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C87" w:rsidRDefault="00860BB5">
    <w:pPr>
      <w:pStyle w:val="Footer"/>
      <w:tabs>
        <w:tab w:val="clear" w:pos="4680"/>
        <w:tab w:val="clear" w:pos="9360"/>
        <w:tab w:val="center" w:pos="2995"/>
      </w:tabs>
      <w:spacing w:before="120"/>
    </w:pPr>
    <w:r>
      <w:t>[741]</w:t>
    </w:r>
    <w:r>
      <w:tab/>
    </w:r>
    <w:r w:rsidR="005667DE">
      <w:fldChar w:fldCharType="begin"/>
    </w:r>
    <w:r w:rsidR="005667DE">
      <w:instrText xml:space="preserve"> PAGE  \* MERGEFORMAT </w:instrText>
    </w:r>
    <w:r w:rsidR="005667DE">
      <w:fldChar w:fldCharType="separate"/>
    </w:r>
    <w:r>
      <w:rPr>
        <w:noProof/>
      </w:rPr>
      <w:t>2</w:t>
    </w:r>
    <w:r w:rsidR="005667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C87" w:rsidRDefault="00860BB5">
      <w:r>
        <w:separator/>
      </w:r>
    </w:p>
  </w:footnote>
  <w:footnote w:type="continuationSeparator" w:id="0">
    <w:p w:rsidR="009B0C87" w:rsidRDefault="00860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77.PB"/>
    <w:docVar w:name="CoverAttorneyInitials" w:val="PB"/>
    <w:docVar w:name="CoverAttorneyLastName" w:val="Benson"/>
    <w:docVar w:name="CoverBillType" w:val="b"/>
    <w:docVar w:name="DraftFileName" w:val="JUD0077.PB.DOCX"/>
    <w:docVar w:name="DraftStenoName" w:val="Craft"/>
    <w:docVar w:name="dvBillNumber" w:val="741"/>
    <w:docVar w:name="dvBillNumberPrefix" w:val="S. "/>
    <w:docVar w:name="dvOriginalBody" w:val="Senate"/>
    <w:docVar w:name="fulldraftpath" w:val="L:\S-JUD\BILLS\McConnell\JUD0077.PB.DOCX"/>
    <w:docVar w:name="NameofBody" w:val="S"/>
    <w:docVar w:name="SenatorFolderName" w:val="McConnell"/>
    <w:docVar w:name="VGROUP2" w:val="S-JUD"/>
  </w:docVars>
  <w:rsids>
    <w:rsidRoot w:val="009B0C87"/>
    <w:rsid w:val="00283043"/>
    <w:rsid w:val="0053337F"/>
    <w:rsid w:val="005667DE"/>
    <w:rsid w:val="007148BE"/>
    <w:rsid w:val="00860BB5"/>
    <w:rsid w:val="008D6644"/>
    <w:rsid w:val="009B0C87"/>
    <w:rsid w:val="009E0F12"/>
    <w:rsid w:val="00A06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D4160018-13AE-451F-A094-B3AE687D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C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B0C87"/>
    <w:pPr>
      <w:tabs>
        <w:tab w:val="center" w:pos="4680"/>
        <w:tab w:val="right" w:pos="9360"/>
      </w:tabs>
    </w:pPr>
  </w:style>
  <w:style w:type="character" w:customStyle="1" w:styleId="FooterChar">
    <w:name w:val="Footer Char"/>
    <w:basedOn w:val="DefaultParagraphFont"/>
    <w:link w:val="Footer"/>
    <w:uiPriority w:val="99"/>
    <w:semiHidden/>
    <w:rsid w:val="009B0C87"/>
  </w:style>
  <w:style w:type="character" w:styleId="PageNumber">
    <w:name w:val="page number"/>
    <w:basedOn w:val="DefaultParagraphFont"/>
    <w:uiPriority w:val="99"/>
    <w:semiHidden/>
    <w:unhideWhenUsed/>
    <w:rsid w:val="009B0C87"/>
  </w:style>
  <w:style w:type="character" w:styleId="LineNumber">
    <w:name w:val="line number"/>
    <w:basedOn w:val="DefaultParagraphFont"/>
    <w:uiPriority w:val="99"/>
    <w:semiHidden/>
    <w:unhideWhenUsed/>
    <w:rsid w:val="009B0C87"/>
  </w:style>
  <w:style w:type="paragraph" w:styleId="Header">
    <w:name w:val="header"/>
    <w:basedOn w:val="Normal"/>
    <w:link w:val="HeaderChar"/>
    <w:uiPriority w:val="99"/>
    <w:semiHidden/>
    <w:unhideWhenUsed/>
    <w:rsid w:val="009B0C87"/>
    <w:pPr>
      <w:tabs>
        <w:tab w:val="center" w:pos="4680"/>
        <w:tab w:val="right" w:pos="9360"/>
      </w:tabs>
    </w:pPr>
  </w:style>
  <w:style w:type="character" w:customStyle="1" w:styleId="HeaderChar">
    <w:name w:val="Header Char"/>
    <w:basedOn w:val="DefaultParagraphFont"/>
    <w:link w:val="Header"/>
    <w:uiPriority w:val="99"/>
    <w:semiHidden/>
    <w:rsid w:val="009B0C87"/>
  </w:style>
  <w:style w:type="paragraph" w:customStyle="1" w:styleId="BillDots">
    <w:name w:val="BillDots"/>
    <w:basedOn w:val="Normal"/>
    <w:qFormat/>
    <w:rsid w:val="009B0C8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B0C87"/>
    <w:pPr>
      <w:tabs>
        <w:tab w:val="right" w:pos="5904"/>
      </w:tabs>
    </w:pPr>
  </w:style>
  <w:style w:type="character" w:styleId="Hyperlink">
    <w:name w:val="Hyperlink"/>
    <w:basedOn w:val="DefaultParagraphFont"/>
    <w:uiPriority w:val="99"/>
    <w:unhideWhenUsed/>
    <w:rsid w:val="009B0C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5-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4-22-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2-09.docx" TargetMode="External"/><Relationship Id="rId11" Type="http://schemas.openxmlformats.org/officeDocument/2006/relationships/hyperlink" Target="file:///p:\pprever\2009-10\741_20090506.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741_20090505.docx" TargetMode="External"/><Relationship Id="rId4" Type="http://schemas.openxmlformats.org/officeDocument/2006/relationships/footnotes" Target="footnotes.xml"/><Relationship Id="rId9" Type="http://schemas.openxmlformats.org/officeDocument/2006/relationships/hyperlink" Target="file:///p:\pprever\2009-10\741_2009042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745</Words>
  <Characters>3848</Characters>
  <Application>Microsoft Office Word</Application>
  <DocSecurity>0</DocSecurity>
  <Lines>140</Lines>
  <Paragraphs>54</Paragraphs>
  <ScaleCrop>false</ScaleCrop>
  <Company> </Company>
  <LinksUpToDate>false</LinksUpToDate>
  <CharactersWithSpaces>4582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741: Workers' compensation insurance - South Carolina Legislature Online</dc:title>
  <dc:subject/>
  <dc:creator>SUSANCRAFT</dc:creator>
  <cp:keywords/>
  <dc:description/>
  <cp:lastModifiedBy>N Cumfer</cp:lastModifiedBy>
  <cp:revision>9</cp:revision>
  <dcterms:created xsi:type="dcterms:W3CDTF">2009-05-06T16:16:00Z</dcterms:created>
  <dcterms:modified xsi:type="dcterms:W3CDTF">2014-11-24T15:04:00Z</dcterms:modified>
</cp:coreProperties>
</file>