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2010</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A52" w:rsidRPr="00331A52" w:rsidRDefault="00331A52" w:rsidP="00331A52">
      <w:pPr>
        <w:tabs>
          <w:tab w:val="right" w:pos="5933"/>
        </w:tabs>
        <w:suppressAutoHyphens/>
        <w:jc w:val="both"/>
        <w:rPr>
          <w:rFonts w:eastAsia="Times New Roman"/>
        </w:rPr>
      </w:pPr>
      <w:r>
        <w:rPr>
          <w:rFonts w:eastAsia="Times New Roman"/>
        </w:rPr>
        <w:tab/>
      </w:r>
      <w:r>
        <w:rPr>
          <w:rFonts w:eastAsia="Times New Roman"/>
          <w:b/>
          <w:sz w:val="36"/>
        </w:rPr>
        <w:t>S. 1348</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A52"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E0E9E">
        <w:t>Senator Campsen</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A52" w:rsidRDefault="00331A52" w:rsidP="00B10E76">
      <w:pPr>
        <w:tabs>
          <w:tab w:val="right" w:pos="5933"/>
        </w:tabs>
        <w:suppressAutoHyphens/>
        <w:jc w:val="both"/>
        <w:rPr>
          <w:rFonts w:eastAsia="Times New Roman"/>
        </w:rPr>
      </w:pPr>
      <w:r>
        <w:rPr>
          <w:rFonts w:eastAsia="Times New Roman"/>
        </w:rPr>
        <w:t>S. Printed 5/12/10--H.</w:t>
      </w:r>
      <w:r w:rsidR="00B10E76">
        <w:rPr>
          <w:rFonts w:eastAsia="Times New Roman"/>
        </w:rPr>
        <w:tab/>
        <w:t>[SEC 5/14/10 3:42 PM]</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2010.</w:t>
      </w:r>
    </w:p>
    <w:p w:rsidR="00331A52" w:rsidRPr="00331A52"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A52" w:rsidRPr="00331A52"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1348) to amend Chapter 16, Title 12 of the 1976 Code, relating to the estate tax, by adding Section 12</w:t>
      </w:r>
      <w:r>
        <w:rPr>
          <w:rFonts w:eastAsia="Times New Roman"/>
        </w:rPr>
        <w:noBreakHyphen/>
        <w:t>16</w:t>
      </w:r>
      <w:r>
        <w:rPr>
          <w:rFonts w:eastAsia="Times New Roman"/>
        </w:rPr>
        <w:noBreakHyphen/>
        <w:t>1960 to provide that the will or trust, etc., respectfully</w:t>
      </w:r>
    </w:p>
    <w:p w:rsidR="00331A52" w:rsidRPr="00331A52"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A52" w:rsidRPr="00DD3DA3"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D3DA3">
        <w:rPr>
          <w:rFonts w:eastAsia="Times New Roman"/>
          <w:szCs w:val="20"/>
        </w:rPr>
        <w:t>Amend the bill, as and if amended, by striking SECTION 1 and inserting:</w:t>
      </w:r>
    </w:p>
    <w:p w:rsidR="00331A52" w:rsidRPr="00DD3DA3"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D3DA3">
        <w:rPr>
          <w:rFonts w:eastAsia="Times New Roman"/>
          <w:szCs w:val="20"/>
        </w:rPr>
        <w:t>/  SECTION</w:t>
      </w:r>
      <w:r w:rsidRPr="00DD3DA3">
        <w:rPr>
          <w:rFonts w:eastAsia="Times New Roman"/>
          <w:szCs w:val="20"/>
        </w:rPr>
        <w:tab/>
        <w:t>1.</w:t>
      </w:r>
      <w:r w:rsidRPr="00DD3DA3">
        <w:rPr>
          <w:rFonts w:eastAsia="Times New Roman"/>
          <w:szCs w:val="20"/>
        </w:rPr>
        <w:tab/>
        <w:t>The personal representative, trustee, or any affected beneficiary under the will, trust, or other instrument of a will, trust, or other instrument of a decedent who dies after December 31, 2009, and before January 1, 2011, may bring a proceeding to determine whether the decedent intended that formulae under the instrument be construed with respect to the law as it existed after December 31, 2009.  The proceeding must be commenced within twelve months following the death of the decedent.  /</w:t>
      </w:r>
    </w:p>
    <w:p w:rsidR="00331A52" w:rsidRPr="00DD3DA3"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D3DA3">
        <w:rPr>
          <w:rFonts w:eastAsia="Times New Roman"/>
          <w:szCs w:val="20"/>
        </w:rPr>
        <w:t>Renumber sections to conform.</w:t>
      </w:r>
    </w:p>
    <w:p w:rsidR="00331A52"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D3DA3">
        <w:rPr>
          <w:rFonts w:eastAsia="Times New Roman"/>
          <w:szCs w:val="20"/>
        </w:rPr>
        <w:t>Amend title to conform.</w:t>
      </w:r>
    </w:p>
    <w:p w:rsidR="00331A52" w:rsidRPr="00DD3DA3"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31A52" w:rsidRDefault="0033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331A52" w:rsidRPr="00331A52" w:rsidRDefault="00331A52" w:rsidP="0033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0CA0" w:rsidRP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0CA0" w:rsidRPr="00570CA0" w:rsidSect="007F6F6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7F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0D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16, TITLE 12 OF THE 1976 CODE, RELATING TO THE ESTATE TA</w:t>
      </w:r>
      <w:r w:rsidR="00321902">
        <w:rPr>
          <w:rFonts w:eastAsia="Times New Roman"/>
        </w:rPr>
        <w:t>X, BY ADDING SECTION 12</w:t>
      </w:r>
      <w:r w:rsidR="004940E2">
        <w:rPr>
          <w:rFonts w:eastAsia="Times New Roman"/>
        </w:rPr>
        <w:noBreakHyphen/>
      </w:r>
      <w:r w:rsidR="00321902">
        <w:rPr>
          <w:rFonts w:eastAsia="Times New Roman"/>
        </w:rPr>
        <w:t>16</w:t>
      </w:r>
      <w:r w:rsidR="004940E2">
        <w:rPr>
          <w:rFonts w:eastAsia="Times New Roman"/>
        </w:rPr>
        <w:noBreakHyphen/>
      </w:r>
      <w:r w:rsidR="00321902">
        <w:rPr>
          <w:rFonts w:eastAsia="Times New Roman"/>
        </w:rPr>
        <w:t>1960</w:t>
      </w:r>
      <w:r>
        <w:rPr>
          <w:rFonts w:eastAsia="Times New Roman"/>
        </w:rPr>
        <w:t xml:space="preserve"> TO PROVIDE THAT THE WILL OR TRUST OF A DECEDENT WHO DIES IN 2010 THAT CONTAINS CERTAIN FORMULAE SHALL BE DEEMED TO REFER TO THE FEDERAL ESTATE TAX LAW AS IT APPLIED ON DECEMBER 31, 2009.</w:t>
      </w:r>
    </w:p>
    <w:p w:rsidR="00D97F27" w:rsidRDefault="00D97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Be it enacted by the General Assembly of the State of South Carolina:</w:t>
      </w: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SECTION</w:t>
      </w:r>
      <w:r w:rsidRPr="00746E2E">
        <w:rPr>
          <w:color w:val="000000" w:themeColor="text1"/>
          <w:u w:color="000000" w:themeColor="text1"/>
        </w:rPr>
        <w:tab/>
        <w:t>1.</w:t>
      </w:r>
      <w:r w:rsidRPr="00746E2E">
        <w:rPr>
          <w:color w:val="000000" w:themeColor="text1"/>
          <w:u w:color="000000" w:themeColor="text1"/>
        </w:rPr>
        <w:tab/>
        <w:t>Chapter 16, Title 12 of the 1976 Code is amended by adding:</w:t>
      </w: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ab/>
      </w:r>
      <w:r>
        <w:rPr>
          <w:color w:val="000000" w:themeColor="text1"/>
          <w:u w:color="000000" w:themeColor="text1"/>
        </w:rPr>
        <w:t>“</w:t>
      </w:r>
      <w:r w:rsidRPr="00746E2E">
        <w:rPr>
          <w:color w:val="000000" w:themeColor="text1"/>
          <w:u w:color="000000" w:themeColor="text1"/>
        </w:rPr>
        <w:t>Section 12</w:t>
      </w:r>
      <w:r w:rsidR="004940E2">
        <w:rPr>
          <w:color w:val="000000" w:themeColor="text1"/>
          <w:u w:color="000000" w:themeColor="text1"/>
        </w:rPr>
        <w:noBreakHyphen/>
      </w:r>
      <w:r w:rsidRPr="00746E2E">
        <w:rPr>
          <w:color w:val="000000" w:themeColor="text1"/>
          <w:u w:color="000000" w:themeColor="text1"/>
        </w:rPr>
        <w:t>16</w:t>
      </w:r>
      <w:r w:rsidR="004940E2">
        <w:rPr>
          <w:color w:val="000000" w:themeColor="text1"/>
          <w:u w:color="000000" w:themeColor="text1"/>
        </w:rPr>
        <w:noBreakHyphen/>
      </w:r>
      <w:r w:rsidRPr="00746E2E">
        <w:rPr>
          <w:color w:val="000000" w:themeColor="text1"/>
          <w:u w:color="000000" w:themeColor="text1"/>
        </w:rPr>
        <w:t>1960.</w:t>
      </w:r>
      <w:r w:rsidRPr="00746E2E">
        <w:rPr>
          <w:color w:val="000000" w:themeColor="text1"/>
          <w:u w:color="000000" w:themeColor="text1"/>
        </w:rPr>
        <w:tab/>
        <w:t>(A)</w:t>
      </w:r>
      <w:r w:rsidRPr="00746E2E">
        <w:rPr>
          <w:color w:val="000000" w:themeColor="text1"/>
          <w:u w:color="000000" w:themeColor="text1"/>
        </w:rPr>
        <w:tab/>
        <w:t xml:space="preserve">A will or trust of a decedent who dies after December 31, 2009, and before January 1, 2011, that contains a formula referring to the </w:t>
      </w:r>
      <w:r w:rsidR="004940E2" w:rsidRPr="004940E2">
        <w:rPr>
          <w:color w:val="000000" w:themeColor="text1"/>
          <w:u w:color="000000" w:themeColor="text1"/>
        </w:rPr>
        <w:t>‘</w:t>
      </w:r>
      <w:r w:rsidRPr="00746E2E">
        <w:rPr>
          <w:color w:val="000000" w:themeColor="text1"/>
          <w:u w:color="000000" w:themeColor="text1"/>
        </w:rPr>
        <w:t>unified credit</w:t>
      </w:r>
      <w:r w:rsidR="004940E2" w:rsidRPr="004940E2">
        <w:rPr>
          <w:color w:val="000000" w:themeColor="text1"/>
          <w:u w:color="000000" w:themeColor="text1"/>
        </w:rPr>
        <w:t>’</w:t>
      </w:r>
      <w:r w:rsidR="00B51A1A">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estate tax exemption</w:t>
      </w:r>
      <w:r w:rsidR="004940E2" w:rsidRPr="004940E2">
        <w:rPr>
          <w:color w:val="000000" w:themeColor="text1"/>
          <w:u w:color="000000" w:themeColor="text1"/>
        </w:rPr>
        <w:t>’</w:t>
      </w:r>
      <w:r w:rsidR="00B51A1A">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exemption amount</w:t>
      </w:r>
      <w:r w:rsidR="004940E2" w:rsidRPr="004940E2">
        <w:rPr>
          <w:color w:val="000000" w:themeColor="text1"/>
          <w:u w:color="000000" w:themeColor="text1"/>
        </w:rPr>
        <w:t>’</w:t>
      </w:r>
      <w:r w:rsidR="00B51A1A">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credit amount</w:t>
      </w:r>
      <w:r w:rsidR="004940E2" w:rsidRPr="004940E2">
        <w:rPr>
          <w:color w:val="000000" w:themeColor="text1"/>
          <w:u w:color="000000" w:themeColor="text1"/>
        </w:rPr>
        <w:t>’</w:t>
      </w:r>
      <w:r w:rsidR="00B51A1A">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 xml:space="preserve">applicable exclusion </w:t>
      </w:r>
      <w:r w:rsidR="00E636CB">
        <w:rPr>
          <w:color w:val="000000" w:themeColor="text1"/>
          <w:u w:color="000000" w:themeColor="text1"/>
        </w:rPr>
        <w:t>amount</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generation</w:t>
      </w:r>
      <w:r w:rsidR="004940E2">
        <w:rPr>
          <w:color w:val="000000" w:themeColor="text1"/>
          <w:u w:color="000000" w:themeColor="text1"/>
        </w:rPr>
        <w:noBreakHyphen/>
      </w:r>
      <w:r w:rsidRPr="00746E2E">
        <w:rPr>
          <w:color w:val="000000" w:themeColor="text1"/>
          <w:u w:color="000000" w:themeColor="text1"/>
        </w:rPr>
        <w:t>skipping transfer tax exemption</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GST exemption</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marital deduction</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maximum marital deduction</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unlimited marital deduction</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inclusion ratio</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fraction</w:t>
      </w:r>
      <w:r w:rsidR="004940E2" w:rsidRPr="004940E2">
        <w:rPr>
          <w:color w:val="000000" w:themeColor="text1"/>
          <w:u w:color="000000" w:themeColor="text1"/>
        </w:rPr>
        <w:t>’</w:t>
      </w:r>
      <w:r w:rsidR="00E636CB">
        <w:rPr>
          <w:color w:val="000000" w:themeColor="text1"/>
          <w:u w:color="000000" w:themeColor="text1"/>
        </w:rPr>
        <w:t>,</w:t>
      </w:r>
      <w:r w:rsidRPr="00746E2E">
        <w:rPr>
          <w:color w:val="000000" w:themeColor="text1"/>
          <w:u w:color="000000" w:themeColor="text1"/>
        </w:rPr>
        <w:t xml:space="preserve"> or any section of the Internal Revenue Code relating to the federal estate tax or generation</w:t>
      </w:r>
      <w:r w:rsidR="004940E2">
        <w:rPr>
          <w:color w:val="000000" w:themeColor="text1"/>
          <w:u w:color="000000" w:themeColor="text1"/>
        </w:rPr>
        <w:noBreakHyphen/>
      </w:r>
      <w:r w:rsidRPr="00746E2E">
        <w:rPr>
          <w:color w:val="000000" w:themeColor="text1"/>
          <w:u w:color="000000" w:themeColor="text1"/>
        </w:rPr>
        <w:t>skipping transfer tax, or that measures a share of an estate or trust based on the amount that can pass free of federal estate tax or the amount that can pass free of federal generation</w:t>
      </w:r>
      <w:r w:rsidR="004940E2">
        <w:rPr>
          <w:color w:val="000000" w:themeColor="text1"/>
          <w:u w:color="000000" w:themeColor="text1"/>
        </w:rPr>
        <w:noBreakHyphen/>
      </w:r>
      <w:r w:rsidRPr="00746E2E">
        <w:rPr>
          <w:color w:val="000000" w:themeColor="text1"/>
          <w:u w:color="000000" w:themeColor="text1"/>
        </w:rPr>
        <w:t>skipping transfer taxes, or that is otherwise based on a similar provision of federal estate tax or generation</w:t>
      </w:r>
      <w:r w:rsidR="004940E2">
        <w:rPr>
          <w:color w:val="000000" w:themeColor="text1"/>
          <w:u w:color="000000" w:themeColor="text1"/>
        </w:rPr>
        <w:noBreakHyphen/>
      </w:r>
      <w:r w:rsidRPr="00746E2E">
        <w:rPr>
          <w:color w:val="000000" w:themeColor="text1"/>
          <w:u w:color="000000" w:themeColor="text1"/>
        </w:rPr>
        <w:t>skipping transfer tax law, shall be deemed to refer to the federal estate tax and generation</w:t>
      </w:r>
      <w:r w:rsidR="004940E2">
        <w:rPr>
          <w:color w:val="000000" w:themeColor="text1"/>
          <w:u w:color="000000" w:themeColor="text1"/>
        </w:rPr>
        <w:noBreakHyphen/>
      </w:r>
      <w:r w:rsidRPr="00746E2E">
        <w:rPr>
          <w:color w:val="000000" w:themeColor="text1"/>
          <w:u w:color="000000" w:themeColor="text1"/>
        </w:rPr>
        <w:t xml:space="preserve">skipping transfer tax laws as they applied with respect to estates of decedents dying on December 31, 2009.  This provision shall not apply with respect to a will or trust that is executed or amended after December 31, </w:t>
      </w:r>
      <w:r w:rsidRPr="00746E2E">
        <w:rPr>
          <w:color w:val="000000" w:themeColor="text1"/>
          <w:u w:color="000000" w:themeColor="text1"/>
        </w:rPr>
        <w:lastRenderedPageBreak/>
        <w:t>2009, or that manifests an intent that a contrary rule shall apply if the decedent dies on a date on which there is no then</w:t>
      </w:r>
      <w:r w:rsidR="004940E2">
        <w:rPr>
          <w:color w:val="000000" w:themeColor="text1"/>
          <w:u w:color="000000" w:themeColor="text1"/>
        </w:rPr>
        <w:noBreakHyphen/>
      </w:r>
      <w:r w:rsidRPr="00746E2E">
        <w:rPr>
          <w:color w:val="000000" w:themeColor="text1"/>
          <w:u w:color="000000" w:themeColor="text1"/>
        </w:rPr>
        <w:t>applicable federal estate or generation</w:t>
      </w:r>
      <w:r w:rsidR="004940E2">
        <w:rPr>
          <w:color w:val="000000" w:themeColor="text1"/>
          <w:u w:color="000000" w:themeColor="text1"/>
        </w:rPr>
        <w:noBreakHyphen/>
      </w:r>
      <w:r w:rsidRPr="00746E2E">
        <w:rPr>
          <w:color w:val="000000" w:themeColor="text1"/>
          <w:u w:color="000000" w:themeColor="text1"/>
        </w:rPr>
        <w:t>skipping transfer tax.  If the federal estate or generation</w:t>
      </w:r>
      <w:r w:rsidR="004940E2">
        <w:rPr>
          <w:color w:val="000000" w:themeColor="text1"/>
          <w:u w:color="000000" w:themeColor="text1"/>
        </w:rPr>
        <w:noBreakHyphen/>
      </w:r>
      <w:r w:rsidRPr="00746E2E">
        <w:rPr>
          <w:color w:val="000000" w:themeColor="text1"/>
          <w:u w:color="000000" w:themeColor="text1"/>
        </w:rPr>
        <w:t>skipping transfer tax becomes effective before that date, the reference to January 1, 2011, in this subsection shall refer instead to the first date on which such tax becomes legally effective.</w:t>
      </w:r>
    </w:p>
    <w:p w:rsidR="00DE1362" w:rsidRDefault="00604090"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535F">
        <w:rPr>
          <w:rFonts w:eastAsia="Times New Roman"/>
          <w:snapToGrid w:val="0"/>
          <w:szCs w:val="20"/>
        </w:rPr>
        <w:tab/>
      </w:r>
      <w:r>
        <w:rPr>
          <w:color w:val="000000" w:themeColor="text1"/>
          <w:u w:color="000000" w:themeColor="text1"/>
        </w:rPr>
        <w:t>(B)</w:t>
      </w:r>
      <w:r>
        <w:rPr>
          <w:color w:val="000000" w:themeColor="text1"/>
          <w:u w:color="000000" w:themeColor="text1"/>
        </w:rPr>
        <w:tab/>
      </w:r>
      <w:r w:rsidRPr="0097535F">
        <w:rPr>
          <w:color w:val="000000" w:themeColor="text1"/>
          <w:u w:color="000000" w:themeColor="text1"/>
        </w:rPr>
        <w:t>The personal representative, trustee, or any affected beneficiary under the will, trust, or other instrument may bring a proceeding to determine whether the decedent intended that the formulae under this subsection be construed with respect to the law as it existed after December 31, 2009. The proceeding must be commenced within twelve months following the death of the decedent.</w:t>
      </w:r>
      <w:r>
        <w:rPr>
          <w:color w:val="000000" w:themeColor="text1"/>
          <w:u w:color="000000" w:themeColor="text1"/>
        </w:rPr>
        <w:t>”</w:t>
      </w:r>
    </w:p>
    <w:p w:rsidR="00604090" w:rsidRPr="00746E2E" w:rsidRDefault="00604090"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SECTION</w:t>
      </w:r>
      <w:r w:rsidRPr="00746E2E">
        <w:rPr>
          <w:color w:val="000000" w:themeColor="text1"/>
          <w:u w:color="000000" w:themeColor="text1"/>
        </w:rPr>
        <w:tab/>
        <w:t>2.</w:t>
      </w:r>
      <w:r w:rsidRPr="00746E2E">
        <w:rPr>
          <w:color w:val="000000" w:themeColor="text1"/>
          <w:u w:color="000000" w:themeColor="text1"/>
        </w:rPr>
        <w:tab/>
        <w:t>This act takes effect upon approval by the Governor.</w:t>
      </w:r>
    </w:p>
    <w:p w:rsidR="00185A82" w:rsidRDefault="004940E2" w:rsidP="003E0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185A82" w:rsidSect="007F6F6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6F68" w:rsidRDefault="007F6F68" w:rsidP="00522CE0">
      <w:r>
        <w:separator/>
      </w:r>
    </w:p>
  </w:endnote>
  <w:endnote w:type="continuationSeparator" w:id="1">
    <w:p w:rsidR="007F6F68" w:rsidRDefault="007F6F6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01ABA1-CA5D-4CA7-892A-0A75AC5B210C}"/>
    <w:embedBold r:id="rId2" w:fontKey="{2B35F28A-F675-4447-91DF-79D86B84FBE1}"/>
  </w:font>
  <w:font w:name="Calibri">
    <w:panose1 w:val="020F0502020204030204"/>
    <w:charset w:val="00"/>
    <w:family w:val="swiss"/>
    <w:pitch w:val="variable"/>
    <w:sig w:usb0="A00002EF" w:usb1="4000207B" w:usb2="00000000" w:usb3="00000000" w:csb0="0000009F" w:csb1="00000000"/>
    <w:embedRegular r:id="rId3" w:fontKey="{24CE37BA-9280-43B6-AB90-0FF328B07562}"/>
  </w:font>
  <w:font w:name="Cambria">
    <w:panose1 w:val="02040503050406030204"/>
    <w:charset w:val="00"/>
    <w:family w:val="roman"/>
    <w:pitch w:val="variable"/>
    <w:sig w:usb0="A00002EF" w:usb1="4000004B" w:usb2="00000000" w:usb3="00000000" w:csb0="0000009F" w:csb1="00000000"/>
    <w:embedRegular r:id="rId4" w:fontKey="{8F928937-60AD-47EC-B90F-169B63B449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F68" w:rsidRPr="00185A82" w:rsidRDefault="007F6F68" w:rsidP="00185A82">
    <w:pPr>
      <w:pStyle w:val="Footer"/>
      <w:tabs>
        <w:tab w:val="clear" w:pos="4680"/>
        <w:tab w:val="clear" w:pos="9360"/>
        <w:tab w:val="center" w:pos="2995"/>
      </w:tabs>
      <w:spacing w:before="120"/>
    </w:pPr>
    <w:r>
      <w:t>[1348-</w:t>
    </w:r>
    <w:fldSimple w:instr=" PAGE  \* MERGEFORMAT ">
      <w:r w:rsidR="003E00B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F68" w:rsidRPr="00185A82" w:rsidRDefault="007F6F68" w:rsidP="00185A82">
    <w:pPr>
      <w:pStyle w:val="Footer"/>
      <w:tabs>
        <w:tab w:val="clear" w:pos="4680"/>
        <w:tab w:val="clear" w:pos="9360"/>
        <w:tab w:val="center" w:pos="2995"/>
      </w:tabs>
      <w:spacing w:before="120"/>
    </w:pPr>
    <w:r>
      <w:t>[1348]</w:t>
    </w:r>
    <w:r>
      <w:tab/>
    </w:r>
    <w:fldSimple w:instr=" PAGE  \* MERGEFORMAT ">
      <w:r w:rsidR="003E00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6F68" w:rsidRDefault="007F6F68" w:rsidP="00522CE0">
      <w:r>
        <w:separator/>
      </w:r>
    </w:p>
  </w:footnote>
  <w:footnote w:type="continuationSeparator" w:id="1">
    <w:p w:rsidR="007F6F68" w:rsidRDefault="007F6F6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0"/>
    <w:footnote w:id="1"/>
  </w:footnotePr>
  <w:endnotePr>
    <w:endnote w:id="0"/>
    <w:endnote w:id="1"/>
  </w:endnotePr>
  <w:compat/>
  <w:docVars>
    <w:docVar w:name="clipname" w:val="001ESTA.DAG.GEC"/>
    <w:docVar w:name="CoverAttorneyInitials" w:val="DAG"/>
    <w:docVar w:name="CoverAttorneyLastName" w:val="Good"/>
    <w:docVar w:name="CoverBillType" w:val="b"/>
    <w:docVar w:name="CoverSenator" w:val="GEC"/>
    <w:docVar w:name="dvBillNumber" w:val="1348"/>
    <w:docVar w:name="dvBillNumberPrefix" w:val="S. "/>
    <w:docVar w:name="dvOriginalBody" w:val="Senate"/>
    <w:docVar w:name="fulldraftpath" w:val="L:\S-FINANC\DRAFTING\GEC\001ESTA.DAG.GEC.DOCX"/>
    <w:docVar w:name="NameofBody" w:val="S"/>
    <w:docVar w:name="vgroup2" w:val="S-FINANC"/>
  </w:docVars>
  <w:rsids>
    <w:rsidRoot w:val="00625740"/>
    <w:rsid w:val="00000DEB"/>
    <w:rsid w:val="00042AC1"/>
    <w:rsid w:val="00046516"/>
    <w:rsid w:val="00064F89"/>
    <w:rsid w:val="0007601D"/>
    <w:rsid w:val="000A38AF"/>
    <w:rsid w:val="000B0720"/>
    <w:rsid w:val="000B5EAF"/>
    <w:rsid w:val="00111C3D"/>
    <w:rsid w:val="00167FD4"/>
    <w:rsid w:val="00170561"/>
    <w:rsid w:val="00185A82"/>
    <w:rsid w:val="00186AC9"/>
    <w:rsid w:val="001961D7"/>
    <w:rsid w:val="00197DF1"/>
    <w:rsid w:val="001B3DD9"/>
    <w:rsid w:val="001D3BAC"/>
    <w:rsid w:val="00211F70"/>
    <w:rsid w:val="00245C4E"/>
    <w:rsid w:val="002C5896"/>
    <w:rsid w:val="002D3BED"/>
    <w:rsid w:val="00307C2B"/>
    <w:rsid w:val="00321902"/>
    <w:rsid w:val="00331A52"/>
    <w:rsid w:val="00381D71"/>
    <w:rsid w:val="003C30E0"/>
    <w:rsid w:val="003D6E2B"/>
    <w:rsid w:val="003E00BF"/>
    <w:rsid w:val="003E7597"/>
    <w:rsid w:val="00450668"/>
    <w:rsid w:val="004940E2"/>
    <w:rsid w:val="004952FA"/>
    <w:rsid w:val="004B0759"/>
    <w:rsid w:val="004B6A22"/>
    <w:rsid w:val="004D7F37"/>
    <w:rsid w:val="00522CE0"/>
    <w:rsid w:val="00565148"/>
    <w:rsid w:val="00570CA0"/>
    <w:rsid w:val="0057327E"/>
    <w:rsid w:val="00593361"/>
    <w:rsid w:val="005A5017"/>
    <w:rsid w:val="005A648C"/>
    <w:rsid w:val="005B53A4"/>
    <w:rsid w:val="005E167E"/>
    <w:rsid w:val="005E4268"/>
    <w:rsid w:val="005F1745"/>
    <w:rsid w:val="00604090"/>
    <w:rsid w:val="00610FAB"/>
    <w:rsid w:val="006219D2"/>
    <w:rsid w:val="00625740"/>
    <w:rsid w:val="00656BD7"/>
    <w:rsid w:val="006955D7"/>
    <w:rsid w:val="006C74EA"/>
    <w:rsid w:val="00720D40"/>
    <w:rsid w:val="007318D4"/>
    <w:rsid w:val="00765784"/>
    <w:rsid w:val="00787094"/>
    <w:rsid w:val="00797511"/>
    <w:rsid w:val="007A4390"/>
    <w:rsid w:val="007B6510"/>
    <w:rsid w:val="007E5CB7"/>
    <w:rsid w:val="007F6F68"/>
    <w:rsid w:val="008314D2"/>
    <w:rsid w:val="0087554E"/>
    <w:rsid w:val="008B2F42"/>
    <w:rsid w:val="008E185F"/>
    <w:rsid w:val="008F023B"/>
    <w:rsid w:val="00904E16"/>
    <w:rsid w:val="009162B3"/>
    <w:rsid w:val="00927C62"/>
    <w:rsid w:val="00983951"/>
    <w:rsid w:val="00984124"/>
    <w:rsid w:val="00984640"/>
    <w:rsid w:val="00995C37"/>
    <w:rsid w:val="009C118A"/>
    <w:rsid w:val="00A02011"/>
    <w:rsid w:val="00A0712E"/>
    <w:rsid w:val="00A4011E"/>
    <w:rsid w:val="00A86015"/>
    <w:rsid w:val="00AE59C8"/>
    <w:rsid w:val="00AF6F2B"/>
    <w:rsid w:val="00B10098"/>
    <w:rsid w:val="00B10E76"/>
    <w:rsid w:val="00B47B87"/>
    <w:rsid w:val="00B51A1A"/>
    <w:rsid w:val="00B5790D"/>
    <w:rsid w:val="00B945C5"/>
    <w:rsid w:val="00BA1CBB"/>
    <w:rsid w:val="00BA20EA"/>
    <w:rsid w:val="00BB5AFC"/>
    <w:rsid w:val="00BC0A56"/>
    <w:rsid w:val="00C45366"/>
    <w:rsid w:val="00C74052"/>
    <w:rsid w:val="00C762AA"/>
    <w:rsid w:val="00CB187A"/>
    <w:rsid w:val="00CC0EC7"/>
    <w:rsid w:val="00CD6A55"/>
    <w:rsid w:val="00CF30EA"/>
    <w:rsid w:val="00D1088B"/>
    <w:rsid w:val="00D11F8F"/>
    <w:rsid w:val="00D156D2"/>
    <w:rsid w:val="00D709DD"/>
    <w:rsid w:val="00D86943"/>
    <w:rsid w:val="00D97F27"/>
    <w:rsid w:val="00DA47B9"/>
    <w:rsid w:val="00DB639E"/>
    <w:rsid w:val="00DD4C7C"/>
    <w:rsid w:val="00DE1362"/>
    <w:rsid w:val="00E636CB"/>
    <w:rsid w:val="00E91E2F"/>
    <w:rsid w:val="00E944CE"/>
    <w:rsid w:val="00EA3546"/>
    <w:rsid w:val="00EB47AE"/>
    <w:rsid w:val="00EC34E1"/>
    <w:rsid w:val="00EC7673"/>
    <w:rsid w:val="00F0234A"/>
    <w:rsid w:val="00F3291D"/>
    <w:rsid w:val="00F52386"/>
    <w:rsid w:val="00F52959"/>
    <w:rsid w:val="00F55884"/>
    <w:rsid w:val="00F56AF2"/>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3155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XXX</cp:lastModifiedBy>
  <cp:revision>2</cp:revision>
  <dcterms:created xsi:type="dcterms:W3CDTF">2010-05-14T19:42:00Z</dcterms:created>
  <dcterms:modified xsi:type="dcterms:W3CDTF">2010-05-14T19:42:00Z</dcterms:modified>
</cp:coreProperties>
</file>