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B26B5" w:rsidRP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29, 2009</w:t>
      </w: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5421" w:rsidRPr="00245421" w:rsidRDefault="00245421" w:rsidP="00245421">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232</w:t>
      </w: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Ryberg, Hutto, Massey, Coleman, O’Dell, Anderson, L. Martin and Nicholson</w:t>
      </w: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4/29/09--H.</w:t>
      </w: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April 2, 2009.</w:t>
      </w:r>
    </w:p>
    <w:p w:rsidR="00245421" w:rsidRPr="00245421"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4B26B5" w:rsidSect="004B26B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48</w:t>
      </w:r>
      <w:r>
        <w:rPr>
          <w:rFonts w:eastAsia="Times New Roman" w:cs="Times New Roman"/>
        </w:rPr>
        <w:noBreakHyphen/>
        <w:t>52</w:t>
      </w:r>
      <w:r>
        <w:rPr>
          <w:rFonts w:eastAsia="Times New Roman" w:cs="Times New Roman"/>
        </w:rPr>
        <w:noBreakHyphen/>
        <w:t xml:space="preserve">210 OF THE 1976 CODE, RELATING TO THE PLAN FOR THE STATE ENERGY POLICY, TO ENCOURAGE THE USE OF CLEAN ENERGY SOURCES; AND TO AMEND </w:t>
      </w:r>
      <w:r w:rsidR="00E67FA4">
        <w:rPr>
          <w:rFonts w:eastAsia="Times New Roman" w:cs="Times New Roman"/>
        </w:rPr>
        <w:t>ARTICLE 2, CHAPTER 52, TITLE 48</w:t>
      </w:r>
      <w:r>
        <w:rPr>
          <w:rFonts w:eastAsia="Times New Roman" w:cs="Times New Roman"/>
        </w:rPr>
        <w:t xml:space="preserve"> BY ADDING SECTION 48</w:t>
      </w:r>
      <w:r>
        <w:rPr>
          <w:rFonts w:eastAsia="Times New Roman" w:cs="Times New Roman"/>
        </w:rPr>
        <w:noBreakHyphen/>
        <w:t>52</w:t>
      </w:r>
      <w:r>
        <w:rPr>
          <w:rFonts w:eastAsia="Times New Roman" w:cs="Times New Roman"/>
        </w:rPr>
        <w:noBreakHyphen/>
        <w:t>220 TO PROVIDE A DEFINITION FOR “RENEWABLE ENERGY RESOURCES”.</w:t>
      </w: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Pr>
          <w:rFonts w:ascii="Times New Roman" w:hAnsi="Times New Roman" w:cs="Times New Roman"/>
          <w:sz w:val="22"/>
          <w:szCs w:val="24"/>
        </w:rPr>
        <w:t>SECTION</w:t>
      </w:r>
      <w:r>
        <w:rPr>
          <w:rFonts w:ascii="Times New Roman" w:hAnsi="Times New Roman" w:cs="Times New Roman"/>
          <w:sz w:val="22"/>
          <w:szCs w:val="24"/>
        </w:rPr>
        <w:tab/>
        <w:t>1.</w:t>
      </w:r>
      <w:r>
        <w:rPr>
          <w:rFonts w:ascii="Times New Roman" w:hAnsi="Times New Roman" w:cs="Times New Roman"/>
          <w:sz w:val="22"/>
          <w:szCs w:val="24"/>
        </w:rPr>
        <w:tab/>
        <w:t>Section 48</w:t>
      </w:r>
      <w:r>
        <w:rPr>
          <w:rFonts w:ascii="Times New Roman" w:hAnsi="Times New Roman" w:cs="Times New Roman"/>
          <w:sz w:val="22"/>
          <w:szCs w:val="24"/>
        </w:rPr>
        <w:noBreakHyphen/>
        <w:t>52</w:t>
      </w:r>
      <w:r>
        <w:rPr>
          <w:rFonts w:ascii="Times New Roman" w:hAnsi="Times New Roman" w:cs="Times New Roman"/>
          <w:sz w:val="22"/>
          <w:szCs w:val="24"/>
        </w:rPr>
        <w:noBreakHyphen/>
        <w:t>210 of the 1976 Code is amended to read:</w:t>
      </w:r>
    </w:p>
    <w:p w:rsidR="00CB75AD" w:rsidRDefault="00CB75AD"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rsidR="00D92EFC" w:rsidRDefault="00CB75AD"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rPr>
        <w:tab/>
      </w:r>
      <w:r w:rsidR="00D92EFC">
        <w:rPr>
          <w:rFonts w:ascii="Times New Roman" w:hAnsi="Times New Roman" w:cs="Times New Roman"/>
          <w:sz w:val="22"/>
          <w:szCs w:val="24"/>
        </w:rPr>
        <w:t>“Section 48-52-210</w:t>
      </w:r>
      <w:r w:rsidR="00F250B7">
        <w:rPr>
          <w:rFonts w:ascii="Times New Roman" w:hAnsi="Times New Roman" w:cs="Times New Roman"/>
          <w:sz w:val="22"/>
          <w:szCs w:val="24"/>
        </w:rPr>
        <w:t>.</w:t>
      </w:r>
      <w:r w:rsidR="00D92EFC">
        <w:rPr>
          <w:rFonts w:ascii="Times New Roman" w:hAnsi="Times New Roman" w:cs="Times New Roman"/>
          <w:sz w:val="22"/>
          <w:szCs w:val="24"/>
        </w:rPr>
        <w:tab/>
        <w:t>(A)</w:t>
      </w:r>
      <w:r w:rsidR="00D92EFC">
        <w:rPr>
          <w:rFonts w:ascii="Times New Roman" w:hAnsi="Times New Roman" w:cs="Times New Roman"/>
          <w:sz w:val="22"/>
          <w:szCs w:val="24"/>
        </w:rPr>
        <w:tab/>
        <w:t xml:space="preserve">It is the policy of this State to have a comprehensive state energy plan that maximizes to the extent practical environmental quality and energy conservation and efficiency, and minimizes the cost of energy throughout the State.  To implement this policy there is adopted the </w:t>
      </w:r>
      <w:bookmarkStart w:id="4" w:name="OCC2"/>
      <w:bookmarkEnd w:id="4"/>
      <w:r w:rsidR="00D92EFC">
        <w:rPr>
          <w:rFonts w:ascii="Times New Roman" w:hAnsi="Times New Roman" w:cs="Times New Roman"/>
          <w:sz w:val="22"/>
          <w:szCs w:val="24"/>
        </w:rPr>
        <w:t>Plan for State Energy Policy.</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t>(B)</w:t>
      </w:r>
      <w:r>
        <w:rPr>
          <w:rFonts w:ascii="Times New Roman" w:hAnsi="Times New Roman" w:cs="Times New Roman"/>
          <w:sz w:val="22"/>
          <w:szCs w:val="24"/>
        </w:rPr>
        <w:tab/>
        <w:t>The purpose of the plan is to:</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(1)</w:t>
      </w:r>
      <w:r>
        <w:rPr>
          <w:rFonts w:ascii="Times New Roman" w:hAnsi="Times New Roman" w:cs="Times New Roman"/>
          <w:sz w:val="22"/>
          <w:szCs w:val="24"/>
        </w:rPr>
        <w:tab/>
        <w:t>ensure access to energy supplies at the lowest practical environmental and economic cost;</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(2)</w:t>
      </w:r>
      <w:r>
        <w:rPr>
          <w:rFonts w:ascii="Times New Roman" w:hAnsi="Times New Roman" w:cs="Times New Roman"/>
          <w:sz w:val="22"/>
          <w:szCs w:val="24"/>
        </w:rPr>
        <w:tab/>
        <w:t>ensure long</w:t>
      </w:r>
      <w:r>
        <w:rPr>
          <w:rFonts w:ascii="Times New Roman" w:hAnsi="Times New Roman" w:cs="Times New Roman"/>
          <w:sz w:val="22"/>
          <w:szCs w:val="24"/>
        </w:rPr>
        <w:noBreakHyphen/>
        <w:t>term access to adequate, reliable energy supplies;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(3)</w:t>
      </w:r>
      <w:r>
        <w:rPr>
          <w:rFonts w:ascii="Times New Roman" w:hAnsi="Times New Roman" w:cs="Times New Roman"/>
          <w:sz w:val="22"/>
          <w:szCs w:val="24"/>
        </w:rPr>
        <w:tab/>
        <w:t>ensure that demand</w:t>
      </w:r>
      <w:r>
        <w:rPr>
          <w:rFonts w:ascii="Times New Roman" w:hAnsi="Times New Roman" w:cs="Times New Roman"/>
          <w:sz w:val="22"/>
          <w:szCs w:val="24"/>
        </w:rPr>
        <w:noBreakHyphen/>
        <w:t>side options are pursued wherever economically and environmentally practical;</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(4)</w:t>
      </w:r>
      <w:r>
        <w:rPr>
          <w:rFonts w:ascii="Times New Roman" w:hAnsi="Times New Roman" w:cs="Times New Roman"/>
          <w:sz w:val="22"/>
          <w:szCs w:val="24"/>
        </w:rPr>
        <w:tab/>
        <w:t xml:space="preserve">encourage the development and use of </w:t>
      </w:r>
      <w:r>
        <w:rPr>
          <w:rFonts w:ascii="Times New Roman" w:hAnsi="Times New Roman" w:cs="Times New Roman"/>
          <w:sz w:val="22"/>
          <w:szCs w:val="24"/>
          <w:u w:val="single"/>
        </w:rPr>
        <w:t xml:space="preserve">clean energy resources, including nuclear energy, energy conservation and efficiency, and </w:t>
      </w:r>
      <w:r>
        <w:rPr>
          <w:rFonts w:ascii="Times New Roman" w:hAnsi="Times New Roman" w:cs="Times New Roman"/>
          <w:sz w:val="22"/>
          <w:szCs w:val="24"/>
        </w:rPr>
        <w:t>indigenous, renewable energy resources;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(5)</w:t>
      </w:r>
      <w:r>
        <w:rPr>
          <w:rFonts w:ascii="Times New Roman" w:hAnsi="Times New Roman" w:cs="Times New Roman"/>
          <w:sz w:val="22"/>
          <w:szCs w:val="24"/>
        </w:rPr>
        <w:tab/>
        <w:t>ensure that basic energy needs of all citizens, including low income citizens, are met;</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lastRenderedPageBreak/>
        <w:tab/>
      </w:r>
      <w:r>
        <w:rPr>
          <w:rFonts w:ascii="Times New Roman" w:hAnsi="Times New Roman" w:cs="Times New Roman"/>
          <w:sz w:val="22"/>
          <w:szCs w:val="24"/>
        </w:rPr>
        <w:tab/>
        <w:t>(6)</w:t>
      </w:r>
      <w:r>
        <w:rPr>
          <w:rFonts w:ascii="Times New Roman" w:hAnsi="Times New Roman" w:cs="Times New Roman"/>
          <w:sz w:val="22"/>
          <w:szCs w:val="24"/>
        </w:rPr>
        <w:tab/>
        <w:t>ensure that energy vulnerability to international events is minimized;</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(7)</w:t>
      </w:r>
      <w:r>
        <w:rPr>
          <w:rFonts w:ascii="Times New Roman" w:hAnsi="Times New Roman" w:cs="Times New Roman"/>
          <w:sz w:val="22"/>
          <w:szCs w:val="24"/>
        </w:rPr>
        <w:tab/>
        <w:t>ensure that energy</w:t>
      </w:r>
      <w:r>
        <w:rPr>
          <w:rFonts w:ascii="Times New Roman" w:hAnsi="Times New Roman" w:cs="Times New Roman"/>
          <w:sz w:val="22"/>
          <w:szCs w:val="24"/>
        </w:rPr>
        <w:noBreakHyphen/>
        <w:t>related decisions promote the economic and environmental well</w:t>
      </w:r>
      <w:r>
        <w:rPr>
          <w:rFonts w:ascii="Times New Roman" w:hAnsi="Times New Roman" w:cs="Times New Roman"/>
          <w:sz w:val="22"/>
          <w:szCs w:val="24"/>
        </w:rPr>
        <w:noBreakHyphen/>
        <w:t>being of the State and maximize the ability of South Carolina to attract retirees, tourists, and industrial and service</w:t>
      </w:r>
      <w:r>
        <w:rPr>
          <w:rFonts w:ascii="Times New Roman" w:hAnsi="Times New Roman" w:cs="Times New Roman"/>
          <w:sz w:val="22"/>
          <w:szCs w:val="24"/>
        </w:rPr>
        <w:noBreakHyphen/>
        <w:t>related jobs;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(8)</w:t>
      </w:r>
      <w:r>
        <w:rPr>
          <w:rFonts w:ascii="Times New Roman" w:hAnsi="Times New Roman" w:cs="Times New Roman"/>
          <w:sz w:val="22"/>
          <w:szCs w:val="24"/>
        </w:rPr>
        <w:tab/>
        <w:t>ensure that short</w:t>
      </w:r>
      <w:r>
        <w:rPr>
          <w:rFonts w:ascii="Times New Roman" w:hAnsi="Times New Roman" w:cs="Times New Roman"/>
          <w:sz w:val="22"/>
          <w:szCs w:val="24"/>
        </w:rPr>
        <w:noBreakHyphen/>
        <w:t>term energy decisions do not conflict with long</w:t>
      </w:r>
      <w:r>
        <w:rPr>
          <w:rFonts w:ascii="Times New Roman" w:hAnsi="Times New Roman" w:cs="Times New Roman"/>
          <w:sz w:val="22"/>
          <w:szCs w:val="24"/>
        </w:rPr>
        <w:noBreakHyphen/>
        <w:t>range energy needs;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(9)</w:t>
      </w:r>
      <w:r>
        <w:rPr>
          <w:rFonts w:ascii="Times New Roman" w:hAnsi="Times New Roman" w:cs="Times New Roman"/>
          <w:sz w:val="22"/>
          <w:szCs w:val="24"/>
        </w:rPr>
        <w:tab/>
        <w:t xml:space="preserve">ensure that internal governmental energy use patterns are consistent with the </w:t>
      </w:r>
      <w:r w:rsidR="00D568C2">
        <w:rPr>
          <w:rFonts w:ascii="Times New Roman" w:hAnsi="Times New Roman" w:cs="Times New Roman"/>
          <w:sz w:val="22"/>
          <w:szCs w:val="24"/>
        </w:rPr>
        <w:t>s</w:t>
      </w:r>
      <w:r>
        <w:rPr>
          <w:rFonts w:ascii="Times New Roman" w:hAnsi="Times New Roman" w:cs="Times New Roman"/>
          <w:sz w:val="22"/>
          <w:szCs w:val="24"/>
        </w:rPr>
        <w:t>tate’s long</w:t>
      </w:r>
      <w:r>
        <w:rPr>
          <w:rFonts w:ascii="Times New Roman" w:hAnsi="Times New Roman" w:cs="Times New Roman"/>
          <w:sz w:val="22"/>
          <w:szCs w:val="24"/>
        </w:rPr>
        <w:noBreakHyphen/>
        <w:t>range interests;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(10)</w:t>
      </w:r>
      <w:r>
        <w:rPr>
          <w:rFonts w:ascii="Times New Roman" w:hAnsi="Times New Roman" w:cs="Times New Roman"/>
          <w:sz w:val="22"/>
          <w:szCs w:val="24"/>
        </w:rPr>
        <w:tab/>
        <w:t>ensure that state government is organized appropriately to handle energy matters in the best public interest;</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(11)</w:t>
      </w:r>
      <w:r>
        <w:rPr>
          <w:rFonts w:ascii="Times New Roman" w:hAnsi="Times New Roman" w:cs="Times New Roman"/>
          <w:sz w:val="22"/>
          <w:szCs w:val="24"/>
        </w:rPr>
        <w:tab/>
        <w:t>ensure that governmental energy</w:t>
      </w:r>
      <w:r>
        <w:rPr>
          <w:rFonts w:ascii="Times New Roman" w:hAnsi="Times New Roman" w:cs="Times New Roman"/>
          <w:sz w:val="22"/>
          <w:szCs w:val="24"/>
        </w:rPr>
        <w:noBreakHyphen/>
        <w:t>related tax, expenditure, and regulatory policies are appropriate, and, wherever possible, maximize the long</w:t>
      </w:r>
      <w:r>
        <w:rPr>
          <w:rFonts w:ascii="Times New Roman" w:hAnsi="Times New Roman" w:cs="Times New Roman"/>
          <w:sz w:val="22"/>
          <w:szCs w:val="24"/>
        </w:rPr>
        <w:noBreakHyphen/>
        <w:t>range benefits of competition</w:t>
      </w:r>
      <w:r>
        <w:rPr>
          <w:rFonts w:ascii="Times New Roman" w:hAnsi="Times New Roman" w:cs="Times New Roman"/>
          <w:sz w:val="22"/>
          <w:szCs w:val="24"/>
          <w:u w:val="single"/>
        </w:rPr>
        <w:t>; and</w:t>
      </w:r>
    </w:p>
    <w:p w:rsidR="00D92EFC" w:rsidRDefault="00D92EFC" w:rsidP="00D92EFC">
      <w:pPr>
        <w:pStyle w:val="EnvelopeReturn"/>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u w:val="single"/>
        </w:rPr>
      </w:pPr>
      <w:r>
        <w:rPr>
          <w:rFonts w:ascii="Times New Roman" w:hAnsi="Times New Roman" w:cs="Times New Roman"/>
          <w:sz w:val="22"/>
          <w:szCs w:val="24"/>
        </w:rPr>
        <w:tab/>
      </w:r>
      <w:r>
        <w:rPr>
          <w:rFonts w:ascii="Times New Roman" w:hAnsi="Times New Roman" w:cs="Times New Roman"/>
          <w:sz w:val="22"/>
          <w:szCs w:val="24"/>
        </w:rPr>
        <w:tab/>
      </w:r>
      <w:r>
        <w:rPr>
          <w:rFonts w:ascii="Times New Roman" w:hAnsi="Times New Roman" w:cs="Times New Roman"/>
          <w:sz w:val="22"/>
          <w:szCs w:val="24"/>
          <w:u w:val="single"/>
        </w:rPr>
        <w:t>(12)</w:t>
      </w:r>
      <w:r>
        <w:rPr>
          <w:rFonts w:ascii="Times New Roman" w:hAnsi="Times New Roman" w:cs="Times New Roman"/>
          <w:sz w:val="22"/>
          <w:szCs w:val="24"/>
        </w:rPr>
        <w:tab/>
      </w:r>
      <w:r>
        <w:rPr>
          <w:rFonts w:ascii="Times New Roman" w:hAnsi="Times New Roman" w:cs="Times New Roman"/>
          <w:sz w:val="22"/>
          <w:szCs w:val="24"/>
          <w:u w:val="single"/>
        </w:rPr>
        <w:t>ensure that any future energy strategy that promotes carbon</w:t>
      </w:r>
      <w:r>
        <w:rPr>
          <w:rFonts w:ascii="Times New Roman" w:hAnsi="Times New Roman" w:cs="Times New Roman"/>
          <w:sz w:val="22"/>
          <w:szCs w:val="24"/>
          <w:u w:val="single"/>
        </w:rPr>
        <w:noBreakHyphen/>
        <w:t>free, non</w:t>
      </w:r>
      <w:r>
        <w:rPr>
          <w:rFonts w:ascii="Times New Roman" w:hAnsi="Times New Roman" w:cs="Times New Roman"/>
          <w:sz w:val="22"/>
          <w:szCs w:val="24"/>
          <w:u w:val="single"/>
        </w:rPr>
        <w:noBreakHyphen/>
        <w:t>greenhouse gas emitting sources includes nuclear energy, renewable resources, and energy conservation and efficiency</w:t>
      </w:r>
      <w:r>
        <w:rPr>
          <w:rFonts w:ascii="Times New Roman" w:hAnsi="Times New Roman" w:cs="Times New Roman"/>
          <w:sz w:val="22"/>
          <w:szCs w:val="24"/>
        </w:rPr>
        <w:t>.”</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Article 2, Chapter 52, Title 48 of the 1976 Code is amended by adding:</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“Section 48</w:t>
      </w:r>
      <w:r w:rsidR="00D92EFC">
        <w:rPr>
          <w:rFonts w:eastAsia="Times New Roman" w:cs="Times New Roman"/>
          <w:szCs w:val="24"/>
        </w:rPr>
        <w:noBreakHyphen/>
        <w:t>52</w:t>
      </w:r>
      <w:r w:rsidR="00D92EFC">
        <w:rPr>
          <w:rFonts w:eastAsia="Times New Roman" w:cs="Times New Roman"/>
          <w:szCs w:val="24"/>
        </w:rPr>
        <w:noBreakHyphen/>
        <w:t>220.</w:t>
      </w:r>
      <w:r w:rsidR="00D92EFC">
        <w:rPr>
          <w:rFonts w:eastAsia="Times New Roman" w:cs="Times New Roman"/>
          <w:szCs w:val="24"/>
        </w:rPr>
        <w:tab/>
        <w:t>For the purposes of this chapter, ‘renewable energy resources’ means energy conservation and efficiency, solar photovoltaic energy, solar thermal energy, wind power, hydroelectric power, geothermal energy, tidal energy, wave energy, recycling, hydrogen fuel derived from renewable resources, biomass energy, energy derived from municipal and other solid waste, energy derived from waste oil, energy derived from waste tires, and landfill gas.”</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3.</w:t>
      </w:r>
      <w:r>
        <w:rPr>
          <w:rFonts w:eastAsia="Times New Roman" w:cs="Times New Roman"/>
          <w:szCs w:val="24"/>
        </w:rPr>
        <w:tab/>
      </w:r>
      <w:r>
        <w:rPr>
          <w:rFonts w:eastAsia="Times New Roman" w:cs="Times New Roman"/>
          <w:szCs w:val="24"/>
        </w:rPr>
        <w:tab/>
        <w:t>Section 48-52-420 of the 1976 Code is amended by adding at the end:</w:t>
      </w: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4"/>
        </w:rPr>
        <w:tab/>
        <w:t>“</w:t>
      </w:r>
      <w:r w:rsidRPr="00235036">
        <w:rPr>
          <w:rFonts w:eastAsia="Times New Roman" w:cs="Times New Roman"/>
          <w:szCs w:val="24"/>
          <w:u w:val="single"/>
        </w:rPr>
        <w:t>(12)</w:t>
      </w:r>
      <w:r>
        <w:rPr>
          <w:rFonts w:eastAsia="Times New Roman" w:cs="Times New Roman"/>
          <w:szCs w:val="24"/>
        </w:rPr>
        <w:tab/>
      </w:r>
      <w:r>
        <w:rPr>
          <w:rFonts w:eastAsia="Times New Roman" w:cs="Times New Roman"/>
          <w:szCs w:val="24"/>
          <w:u w:val="single"/>
        </w:rPr>
        <w:t>ensure that any future energy strategy that promotes carbon-free, non-greenhouse gas emitting sources includes nuclear energy, renewable energy resources, and energy conservation and efficiency.</w:t>
      </w:r>
      <w:r w:rsidRPr="00BB3A0B">
        <w:rPr>
          <w:rFonts w:eastAsia="Times New Roman" w:cs="Times New Roman"/>
          <w:szCs w:val="24"/>
        </w:rPr>
        <w:t>”</w:t>
      </w:r>
    </w:p>
    <w:p w:rsidR="00D92EFC"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SECTION</w:t>
      </w:r>
      <w:r>
        <w:rPr>
          <w:rFonts w:cs="Times New Roman"/>
          <w:color w:val="000000" w:themeColor="text1"/>
        </w:rPr>
        <w:tab/>
        <w:t>4</w:t>
      </w:r>
      <w:r w:rsidR="00CB75AD">
        <w:rPr>
          <w:rFonts w:cs="Times New Roman"/>
          <w:color w:val="000000" w:themeColor="text1"/>
        </w:rPr>
        <w:t>.</w:t>
      </w:r>
      <w:r w:rsidR="00CB75AD">
        <w:rPr>
          <w:rFonts w:cs="Times New Roman"/>
          <w:color w:val="000000" w:themeColor="text1"/>
        </w:rPr>
        <w:tab/>
      </w:r>
      <w:r>
        <w:rPr>
          <w:rFonts w:cs="Times New Roman"/>
          <w:color w:val="000000" w:themeColor="text1"/>
        </w:rPr>
        <w:t>Section 48</w:t>
      </w:r>
      <w:r>
        <w:rPr>
          <w:rFonts w:cs="Times New Roman"/>
          <w:color w:val="000000" w:themeColor="text1"/>
        </w:rPr>
        <w:noBreakHyphen/>
        <w:t>52</w:t>
      </w:r>
      <w:r>
        <w:rPr>
          <w:rFonts w:cs="Times New Roman"/>
          <w:color w:val="000000" w:themeColor="text1"/>
        </w:rPr>
        <w:noBreakHyphen/>
        <w:t>430 of the 1976 Code is amended to read:</w:t>
      </w:r>
    </w:p>
    <w:p w:rsidR="00D92EFC" w:rsidRDefault="00CB75AD" w:rsidP="00D92EFC">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ab/>
      </w:r>
      <w:r w:rsidR="00D92EFC">
        <w:rPr>
          <w:rFonts w:cs="Times New Roman"/>
          <w:color w:val="000000" w:themeColor="text1"/>
        </w:rPr>
        <w:t>“Section 48-52-430.</w:t>
      </w:r>
      <w:r w:rsidR="00D92EFC">
        <w:rPr>
          <w:rFonts w:cs="Times New Roman"/>
          <w:color w:val="000000" w:themeColor="text1"/>
        </w:rPr>
        <w:tab/>
        <w:t xml:space="preserve">The State Energy Office shall annually submit to the Governor and </w:t>
      </w:r>
      <w:r w:rsidR="00D92EFC">
        <w:rPr>
          <w:rFonts w:cs="Times New Roman"/>
          <w:strike/>
          <w:color w:val="000000" w:themeColor="text1"/>
        </w:rPr>
        <w:t>Joint Legislative Committee on Energy</w:t>
      </w:r>
      <w:r w:rsidR="00D92EFC">
        <w:rPr>
          <w:rFonts w:cs="Times New Roman"/>
          <w:color w:val="000000" w:themeColor="text1"/>
        </w:rPr>
        <w:t xml:space="preserve"> </w:t>
      </w:r>
      <w:r w:rsidR="00D92EFC">
        <w:rPr>
          <w:rFonts w:cs="Times New Roman"/>
          <w:color w:val="000000" w:themeColor="text1"/>
          <w:u w:val="single" w:color="000000" w:themeColor="text1"/>
        </w:rPr>
        <w:t>the Public Utility Review Committee, the House Labor, Commer</w:t>
      </w:r>
      <w:r w:rsidR="00D568C2">
        <w:rPr>
          <w:rFonts w:cs="Times New Roman"/>
          <w:color w:val="000000" w:themeColor="text1"/>
          <w:u w:val="single" w:color="000000" w:themeColor="text1"/>
        </w:rPr>
        <w:t>c</w:t>
      </w:r>
      <w:r w:rsidR="00D92EFC">
        <w:rPr>
          <w:rFonts w:cs="Times New Roman"/>
          <w:color w:val="000000" w:themeColor="text1"/>
          <w:u w:val="single" w:color="000000" w:themeColor="text1"/>
        </w:rPr>
        <w:t>e and Industry Committee</w:t>
      </w:r>
      <w:r w:rsidR="00D568C2">
        <w:rPr>
          <w:rFonts w:cs="Times New Roman"/>
          <w:color w:val="000000" w:themeColor="text1"/>
          <w:u w:val="single" w:color="000000" w:themeColor="text1"/>
        </w:rPr>
        <w:t>,</w:t>
      </w:r>
      <w:r w:rsidR="00D92EFC">
        <w:rPr>
          <w:rFonts w:cs="Times New Roman"/>
          <w:color w:val="000000" w:themeColor="text1"/>
          <w:u w:val="single" w:color="000000" w:themeColor="text1"/>
        </w:rPr>
        <w:t xml:space="preserve"> and the Senate Agriculture and Natural Re</w:t>
      </w:r>
      <w:r w:rsidR="00D568C2">
        <w:rPr>
          <w:rFonts w:cs="Times New Roman"/>
          <w:color w:val="000000" w:themeColor="text1"/>
          <w:u w:val="single" w:color="000000" w:themeColor="text1"/>
        </w:rPr>
        <w:t>sources</w:t>
      </w:r>
      <w:r w:rsidR="00D92EFC">
        <w:rPr>
          <w:rFonts w:cs="Times New Roman"/>
          <w:color w:val="000000" w:themeColor="text1"/>
          <w:u w:val="single" w:color="000000" w:themeColor="text1"/>
        </w:rPr>
        <w:t xml:space="preserve"> Committee </w:t>
      </w:r>
      <w:r w:rsidR="00D92EFC">
        <w:rPr>
          <w:rFonts w:cs="Times New Roman"/>
          <w:color w:val="000000" w:themeColor="text1"/>
        </w:rPr>
        <w:t xml:space="preserve"> a state energy action plan that includes, but is not limited to:</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ab/>
      </w:r>
      <w:r w:rsidR="00D92EFC">
        <w:rPr>
          <w:rFonts w:cs="Times New Roman"/>
          <w:color w:val="000000" w:themeColor="text1"/>
        </w:rPr>
        <w:t>(a)</w:t>
      </w:r>
      <w:r w:rsidR="00D92EFC">
        <w:rPr>
          <w:rFonts w:cs="Times New Roman"/>
          <w:color w:val="000000" w:themeColor="text1"/>
        </w:rPr>
        <w:tab/>
        <w:t>activities by the State Energy Office to carry out the Plan for State Energy Policy;</w:t>
      </w:r>
    </w:p>
    <w:p w:rsidR="00CB75AD" w:rsidRDefault="00CB75AD" w:rsidP="00CB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ab/>
      </w:r>
      <w:r w:rsidR="00D92EFC">
        <w:rPr>
          <w:rFonts w:cs="Times New Roman"/>
          <w:color w:val="000000" w:themeColor="text1"/>
        </w:rPr>
        <w:t>(b)</w:t>
      </w:r>
      <w:r w:rsidR="00D92EFC">
        <w:rPr>
          <w:rFonts w:cs="Times New Roman"/>
          <w:color w:val="000000" w:themeColor="text1"/>
        </w:rPr>
        <w:tab/>
        <w:t>recommendations for long</w:t>
      </w:r>
      <w:r w:rsidR="00D92EFC">
        <w:rPr>
          <w:rFonts w:cs="Times New Roman"/>
          <w:color w:val="000000" w:themeColor="text1"/>
        </w:rPr>
        <w:noBreakHyphen/>
        <w:t>term quantitative and qualitative energy goals for the residential, commercial, industrial, transportation, governmental, and utility sectors, and measures of progress for these goals;</w:t>
      </w:r>
    </w:p>
    <w:p w:rsidR="00D92EFC" w:rsidRPr="00CB75AD" w:rsidRDefault="00CB75AD" w:rsidP="00CB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ab/>
      </w:r>
      <w:r>
        <w:rPr>
          <w:rFonts w:cs="Times New Roman"/>
        </w:rPr>
        <w:t>(</w:t>
      </w:r>
      <w:r w:rsidR="00D92EFC">
        <w:rPr>
          <w:rFonts w:cs="Times New Roman"/>
        </w:rPr>
        <w:t>c)</w:t>
      </w:r>
      <w:r w:rsidR="00D92EFC">
        <w:rPr>
          <w:rFonts w:cs="Times New Roman"/>
        </w:rPr>
        <w:tab/>
        <w:t>identification of obstacles to efficiency for which legislative, regulatory, or other governmental remedies are appropriate.”</w:t>
      </w:r>
      <w:r w:rsidR="00D92EFC">
        <w:rPr>
          <w:rFonts w:cs="Times New Roman"/>
        </w:rPr>
        <w:tab/>
      </w:r>
      <w:r w:rsidR="00D92EFC">
        <w:rPr>
          <w:rFonts w:cs="Times New Roman"/>
        </w:rPr>
        <w:tab/>
      </w:r>
      <w:r w:rsidR="00D92EFC">
        <w:rPr>
          <w:rFonts w:cs="Times New Roman"/>
        </w:rPr>
        <w:tab/>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SECTION</w:t>
      </w:r>
      <w:r>
        <w:rPr>
          <w:rFonts w:ascii="Times New Roman" w:hAnsi="Times New Roman" w:cs="Times New Roman"/>
          <w:sz w:val="22"/>
          <w:szCs w:val="24"/>
        </w:rPr>
        <w:tab/>
        <w:t>5.</w:t>
      </w:r>
      <w:r>
        <w:rPr>
          <w:rFonts w:ascii="Times New Roman" w:hAnsi="Times New Roman" w:cs="Times New Roman"/>
          <w:sz w:val="22"/>
          <w:szCs w:val="24"/>
        </w:rPr>
        <w:tab/>
        <w:t>Section 58</w:t>
      </w:r>
      <w:r>
        <w:rPr>
          <w:rFonts w:ascii="Times New Roman" w:hAnsi="Times New Roman" w:cs="Times New Roman"/>
          <w:sz w:val="22"/>
          <w:szCs w:val="24"/>
        </w:rPr>
        <w:noBreakHyphen/>
        <w:t>3</w:t>
      </w:r>
      <w:r>
        <w:rPr>
          <w:rFonts w:ascii="Times New Roman" w:hAnsi="Times New Roman" w:cs="Times New Roman"/>
          <w:sz w:val="22"/>
          <w:szCs w:val="24"/>
        </w:rPr>
        <w:noBreakHyphen/>
        <w:t>530 of the 1976 Code is amended to read:</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p>
    <w:p w:rsidR="00D92EFC" w:rsidRDefault="00D92EFC" w:rsidP="00D92EFC">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cs="Times New Roman"/>
          <w:szCs w:val="24"/>
        </w:rPr>
        <w:t>“Section 58-3-530.</w:t>
      </w:r>
      <w:r>
        <w:rPr>
          <w:rFonts w:cs="Times New Roman"/>
          <w:szCs w:val="24"/>
        </w:rPr>
        <w:tab/>
      </w:r>
      <w:r>
        <w:rPr>
          <w:rFonts w:eastAsia="Times New Roman" w:cs="Times New Roman"/>
          <w:szCs w:val="24"/>
        </w:rPr>
        <w:t xml:space="preserve">The review committee has the following powers and duties: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568C2">
        <w:rPr>
          <w:rFonts w:eastAsia="Times New Roman" w:cs="Times New Roman"/>
          <w:szCs w:val="24"/>
        </w:rPr>
        <w:t>(1)</w:t>
      </w:r>
      <w:r w:rsidR="00D568C2">
        <w:rPr>
          <w:rFonts w:eastAsia="Times New Roman" w:cs="Times New Roman"/>
          <w:szCs w:val="24"/>
        </w:rPr>
        <w:tab/>
      </w:r>
      <w:r w:rsidR="00D92EFC">
        <w:rPr>
          <w:rFonts w:eastAsia="Times New Roman" w:cs="Times New Roman"/>
          <w:szCs w:val="24"/>
        </w:rPr>
        <w:t xml:space="preserve">to nominate: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568C2">
        <w:rPr>
          <w:rFonts w:eastAsia="Times New Roman" w:cs="Times New Roman"/>
          <w:szCs w:val="24"/>
        </w:rPr>
        <w:t>(a)</w:t>
      </w:r>
      <w:r w:rsidR="00D568C2">
        <w:rPr>
          <w:rFonts w:eastAsia="Times New Roman" w:cs="Times New Roman"/>
          <w:szCs w:val="24"/>
        </w:rPr>
        <w:tab/>
      </w:r>
      <w:r w:rsidR="00D92EFC">
        <w:rPr>
          <w:rFonts w:eastAsia="Times New Roman" w:cs="Times New Roman"/>
          <w:szCs w:val="24"/>
        </w:rPr>
        <w:t>no more than three candidates for each seat on the Public Service Commission to be elected by the General Assembly.  In order to be nominated, a candidate must be found qualified by meeting the requirements as provided in Sections 58</w:t>
      </w:r>
      <w:r w:rsidR="00D92EFC">
        <w:rPr>
          <w:rFonts w:eastAsia="Times New Roman" w:cs="Times New Roman"/>
          <w:szCs w:val="24"/>
        </w:rPr>
        <w:noBreakHyphen/>
        <w:t>3</w:t>
      </w:r>
      <w:r w:rsidR="00D92EFC">
        <w:rPr>
          <w:rFonts w:eastAsia="Times New Roman" w:cs="Times New Roman"/>
          <w:szCs w:val="24"/>
        </w:rPr>
        <w:noBreakHyphen/>
        <w:t>20 and 58</w:t>
      </w:r>
      <w:r w:rsidR="00D92EFC">
        <w:rPr>
          <w:rFonts w:eastAsia="Times New Roman" w:cs="Times New Roman"/>
          <w:szCs w:val="24"/>
        </w:rPr>
        <w:noBreakHyphen/>
        <w:t>3</w:t>
      </w:r>
      <w:r w:rsidR="00D92EFC">
        <w:rPr>
          <w:rFonts w:eastAsia="Times New Roman" w:cs="Times New Roman"/>
          <w:szCs w:val="24"/>
        </w:rPr>
        <w:noBreakHyphen/>
        <w:t xml:space="preserve">560;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(b)</w:t>
      </w:r>
      <w:r w:rsidR="00D568C2">
        <w:rPr>
          <w:rFonts w:eastAsia="Times New Roman" w:cs="Times New Roman"/>
          <w:szCs w:val="24"/>
        </w:rPr>
        <w:tab/>
      </w:r>
      <w:r w:rsidR="00D92EFC">
        <w:rPr>
          <w:rFonts w:eastAsia="Times New Roman" w:cs="Times New Roman"/>
          <w:szCs w:val="24"/>
        </w:rPr>
        <w:t>no more than one qualified candidate for the Governor to consider in appointing the Executive Director of the Office of Regulatory Staff.  In order to be nominated, a candidate must be found qualified by meeting the minimum requirements as provided in Section 58</w:t>
      </w:r>
      <w:r w:rsidR="00D92EFC">
        <w:rPr>
          <w:rFonts w:eastAsia="Times New Roman" w:cs="Times New Roman"/>
          <w:szCs w:val="24"/>
        </w:rPr>
        <w:noBreakHyphen/>
        <w:t>4</w:t>
      </w:r>
      <w:r w:rsidR="00D92EFC">
        <w:rPr>
          <w:rFonts w:eastAsia="Times New Roman" w:cs="Times New Roman"/>
          <w:szCs w:val="24"/>
        </w:rPr>
        <w:noBreakHyphen/>
        <w:t xml:space="preserve">30.  The review committee must give due consideration to a candidate’s experience and expertise in matters related to public utilities.  A person must not be appointed to serve as Executive Director of the Office of Regulatory Staff unless nominated by the review committee.  If the Governor rejects a person nominated for the position of executive director by the review committee, the review committee must nominate another candidate for the Governor to consider, until the Governor makes an appointment;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(2)</w:t>
      </w:r>
      <w:r w:rsidR="00D568C2">
        <w:rPr>
          <w:rFonts w:eastAsia="Times New Roman" w:cs="Times New Roman"/>
          <w:szCs w:val="24"/>
        </w:rPr>
        <w:tab/>
      </w:r>
      <w:r w:rsidR="00D92EFC">
        <w:rPr>
          <w:rFonts w:eastAsia="Times New Roman" w:cs="Times New Roman"/>
          <w:szCs w:val="24"/>
        </w:rPr>
        <w:t xml:space="preserve">notwithstanding any other provision of law, to set the salary of the Executive Director of the Office of Regulatory Staff;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(3)</w:t>
      </w:r>
      <w:r w:rsidR="00D568C2">
        <w:rPr>
          <w:rFonts w:eastAsia="Times New Roman" w:cs="Times New Roman"/>
          <w:szCs w:val="24"/>
        </w:rPr>
        <w:tab/>
      </w:r>
      <w:r w:rsidR="00D92EFC">
        <w:rPr>
          <w:rFonts w:eastAsia="Times New Roman" w:cs="Times New Roman"/>
          <w:szCs w:val="24"/>
        </w:rPr>
        <w:t xml:space="preserve">to conduct an annual performance review of each member of the commission, which must be submitted to the General Assembly.  A draft of the member’s performance review must be submitted to the member, and the member must be allowed an opportunity to be heard before the review committee before the final draft of the performance review is submitted to the General Assembly.  The final performance review must be made a part of the member’s record for consideration if the member seeks reelection to the commission;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(4)</w:t>
      </w:r>
      <w:r w:rsidR="00D568C2">
        <w:rPr>
          <w:rFonts w:eastAsia="Times New Roman" w:cs="Times New Roman"/>
          <w:szCs w:val="24"/>
        </w:rPr>
        <w:tab/>
        <w:t>t</w:t>
      </w:r>
      <w:r w:rsidR="00D92EFC">
        <w:rPr>
          <w:rFonts w:eastAsia="Times New Roman" w:cs="Times New Roman"/>
          <w:szCs w:val="24"/>
        </w:rPr>
        <w:t xml:space="preserve">o evaluate the actions of the commission, to the end that the members of the General Assembly may better judge whether these actions serve the best interests of the citizens of South Carolina, both individual and corporate;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(5)</w:t>
      </w:r>
      <w:r w:rsidR="00D568C2">
        <w:rPr>
          <w:rFonts w:eastAsia="Times New Roman" w:cs="Times New Roman"/>
          <w:szCs w:val="24"/>
        </w:rPr>
        <w:tab/>
      </w:r>
      <w:r w:rsidR="00D92EFC">
        <w:rPr>
          <w:rFonts w:eastAsia="Times New Roman" w:cs="Times New Roman"/>
          <w:szCs w:val="24"/>
        </w:rPr>
        <w:t xml:space="preserve">to develop and distribute to each party and its representatives appearing before the commission an anonymous and confidential survey evaluating the commissioners.  At a minimum, the survey must include the following: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(a)</w:t>
      </w:r>
      <w:r w:rsidR="00D568C2">
        <w:rPr>
          <w:rFonts w:eastAsia="Times New Roman" w:cs="Times New Roman"/>
          <w:szCs w:val="24"/>
        </w:rPr>
        <w:tab/>
      </w:r>
      <w:r w:rsidR="00D92EFC">
        <w:rPr>
          <w:rFonts w:eastAsia="Times New Roman" w:cs="Times New Roman"/>
          <w:szCs w:val="24"/>
        </w:rPr>
        <w:t xml:space="preserve">knowledge and application of substantive utility issues;  ability to perceive relevant issues;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(b)</w:t>
      </w:r>
      <w:r w:rsidR="00D568C2">
        <w:rPr>
          <w:rFonts w:eastAsia="Times New Roman" w:cs="Times New Roman"/>
          <w:szCs w:val="24"/>
        </w:rPr>
        <w:tab/>
      </w:r>
      <w:r w:rsidR="00D92EFC">
        <w:rPr>
          <w:rFonts w:eastAsia="Times New Roman" w:cs="Times New Roman"/>
          <w:szCs w:val="24"/>
        </w:rPr>
        <w:t xml:space="preserve">absence of influence by political considerations;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(c)</w:t>
      </w:r>
      <w:r w:rsidR="00D568C2">
        <w:rPr>
          <w:rFonts w:eastAsia="Times New Roman" w:cs="Times New Roman"/>
          <w:szCs w:val="24"/>
        </w:rPr>
        <w:tab/>
      </w:r>
      <w:r w:rsidR="00D92EFC">
        <w:rPr>
          <w:rFonts w:eastAsia="Times New Roman" w:cs="Times New Roman"/>
          <w:szCs w:val="24"/>
        </w:rPr>
        <w:t xml:space="preserve">absence of influence by identities of lawyers;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(d)</w:t>
      </w:r>
      <w:r w:rsidR="00D568C2">
        <w:rPr>
          <w:rFonts w:eastAsia="Times New Roman" w:cs="Times New Roman"/>
          <w:szCs w:val="24"/>
        </w:rPr>
        <w:tab/>
      </w:r>
      <w:r w:rsidR="00D92EFC">
        <w:rPr>
          <w:rFonts w:eastAsia="Times New Roman" w:cs="Times New Roman"/>
          <w:szCs w:val="24"/>
        </w:rPr>
        <w:t xml:space="preserve">absence of influence by identities of litigants;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(e)</w:t>
      </w:r>
      <w:r w:rsidR="00D568C2">
        <w:rPr>
          <w:rFonts w:eastAsia="Times New Roman" w:cs="Times New Roman"/>
          <w:szCs w:val="24"/>
        </w:rPr>
        <w:tab/>
      </w:r>
      <w:r w:rsidR="00D92EFC">
        <w:rPr>
          <w:rFonts w:eastAsia="Times New Roman" w:cs="Times New Roman"/>
          <w:szCs w:val="24"/>
        </w:rPr>
        <w:t xml:space="preserve">courtesy to all persons appearing before the commission;  and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(f)</w:t>
      </w:r>
      <w:r w:rsidR="00D568C2">
        <w:rPr>
          <w:rFonts w:eastAsia="Times New Roman" w:cs="Times New Roman"/>
          <w:szCs w:val="24"/>
        </w:rPr>
        <w:tab/>
      </w:r>
      <w:r w:rsidR="00D92EFC">
        <w:rPr>
          <w:rFonts w:eastAsia="Times New Roman" w:cs="Times New Roman"/>
          <w:szCs w:val="24"/>
        </w:rPr>
        <w:t xml:space="preserve">temperament and demeanor in general, preparation for hearings, and attentiveness during hearings;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(6)</w:t>
      </w:r>
      <w:r w:rsidR="00D568C2">
        <w:rPr>
          <w:rFonts w:eastAsia="Times New Roman" w:cs="Times New Roman"/>
          <w:szCs w:val="24"/>
        </w:rPr>
        <w:tab/>
      </w:r>
      <w:r w:rsidR="00D92EFC">
        <w:rPr>
          <w:rFonts w:eastAsia="Times New Roman" w:cs="Times New Roman"/>
          <w:szCs w:val="24"/>
        </w:rPr>
        <w:t xml:space="preserve">to submit to the General Assembly, on an annual basis, the review committee’s evaluation of the performance of the commission.  A proposed draft of the evaluation must be submitted to the commission prior to submission to the General Assembly, and the commission must be given an opportunity to be heard before the review committee prior to the completion of the evaluation and its submission to the General Assembly;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(7)</w:t>
      </w:r>
      <w:r w:rsidR="00D568C2">
        <w:rPr>
          <w:rFonts w:eastAsia="Times New Roman" w:cs="Times New Roman"/>
          <w:szCs w:val="24"/>
        </w:rPr>
        <w:tab/>
      </w:r>
      <w:r w:rsidR="00D92EFC">
        <w:rPr>
          <w:rFonts w:eastAsia="Times New Roman" w:cs="Times New Roman"/>
          <w:szCs w:val="24"/>
        </w:rPr>
        <w:t xml:space="preserve">to conduct an annual performance review of the Executive Director of the Office of Regulatory Staff, which must be submitted to the General Assembly.  A draft of the executive director’s performance review must be submitted to the executive director, and the executive director must be allowed an opportunity to be heard before the review committee before the final draft of the performance review is submitted to the General Assembly;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(8)</w:t>
      </w:r>
      <w:r w:rsidR="00D568C2">
        <w:rPr>
          <w:rFonts w:eastAsia="Times New Roman" w:cs="Times New Roman"/>
          <w:szCs w:val="24"/>
        </w:rPr>
        <w:tab/>
        <w:t>t</w:t>
      </w:r>
      <w:r w:rsidR="00D92EFC">
        <w:rPr>
          <w:rFonts w:eastAsia="Times New Roman" w:cs="Times New Roman"/>
          <w:szCs w:val="24"/>
        </w:rPr>
        <w:t xml:space="preserve">o submit to the General Assembly, on an annual basis, the review committee’s evaluation of the performance of the Office of Regulatory Staff.  A proposed draft of the evaluation must be submitted to the Office of Regulatory Staff prior to submission to the General Assembly, and the Office of Regulatory Staff must be given an opportunity to be heard before the review committee prior to the completion of the evaluation and its submission to the General Assembly;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(9)</w:t>
      </w:r>
      <w:r w:rsidR="00D568C2">
        <w:rPr>
          <w:rFonts w:eastAsia="Times New Roman" w:cs="Times New Roman"/>
          <w:szCs w:val="24"/>
        </w:rPr>
        <w:tab/>
      </w:r>
      <w:r w:rsidR="00D92EFC">
        <w:rPr>
          <w:rFonts w:eastAsia="Times New Roman" w:cs="Times New Roman"/>
          <w:szCs w:val="24"/>
        </w:rPr>
        <w:t xml:space="preserve">to assist in developing an annual workshop of at least six contact hours concerning ethics and the Administrative Procedures Act for the commissioners and employees of the Public Service Commission and the </w:t>
      </w:r>
      <w:r w:rsidR="00D568C2">
        <w:rPr>
          <w:rFonts w:eastAsia="Times New Roman" w:cs="Times New Roman"/>
          <w:szCs w:val="24"/>
        </w:rPr>
        <w:t>E</w:t>
      </w:r>
      <w:r w:rsidR="00D92EFC">
        <w:rPr>
          <w:rFonts w:eastAsia="Times New Roman" w:cs="Times New Roman"/>
          <w:szCs w:val="24"/>
        </w:rPr>
        <w:t xml:space="preserve">xecutive </w:t>
      </w:r>
      <w:r w:rsidR="00D568C2">
        <w:rPr>
          <w:rFonts w:eastAsia="Times New Roman" w:cs="Times New Roman"/>
          <w:szCs w:val="24"/>
        </w:rPr>
        <w:t>D</w:t>
      </w:r>
      <w:r w:rsidR="00D92EFC">
        <w:rPr>
          <w:rFonts w:eastAsia="Times New Roman" w:cs="Times New Roman"/>
          <w:szCs w:val="24"/>
        </w:rPr>
        <w:t xml:space="preserve">irector and employees of the Office of Regulatory Staff;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(10)</w:t>
      </w:r>
      <w:r w:rsidR="00D568C2">
        <w:rPr>
          <w:rFonts w:eastAsia="Times New Roman" w:cs="Times New Roman"/>
          <w:szCs w:val="24"/>
        </w:rPr>
        <w:tab/>
      </w:r>
      <w:r w:rsidR="00D92EFC">
        <w:rPr>
          <w:rFonts w:eastAsia="Times New Roman" w:cs="Times New Roman"/>
          <w:szCs w:val="24"/>
        </w:rPr>
        <w:t xml:space="preserve">to make reports and recommendations to the General Assembly on matters relating to the powers and duties set forth in this section;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(11)</w:t>
      </w:r>
      <w:r w:rsidR="00D568C2">
        <w:rPr>
          <w:rFonts w:eastAsia="Times New Roman" w:cs="Times New Roman"/>
          <w:szCs w:val="24"/>
        </w:rPr>
        <w:tab/>
      </w:r>
      <w:r w:rsidR="00D92EFC">
        <w:rPr>
          <w:rFonts w:eastAsia="Times New Roman" w:cs="Times New Roman"/>
          <w:szCs w:val="24"/>
        </w:rPr>
        <w:t xml:space="preserve">to submit a letter with the annual budget proposals of the Office of Regulatory Staff and the Public Service Commission, indicating the review committee has reviewed and approved the proposals;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(12)</w:t>
      </w:r>
      <w:r w:rsidR="00D568C2">
        <w:rPr>
          <w:rFonts w:eastAsia="Times New Roman" w:cs="Times New Roman"/>
          <w:szCs w:val="24"/>
        </w:rPr>
        <w:tab/>
      </w:r>
      <w:r w:rsidR="00D92EFC">
        <w:rPr>
          <w:rFonts w:eastAsia="Times New Roman" w:cs="Times New Roman"/>
          <w:szCs w:val="24"/>
        </w:rPr>
        <w:t xml:space="preserve">to appoint a committee from the general public at large to advise the review committee on any of its powers and duties.  Members must not be members of the General Assembly, members or employees of the Public Service Commission, or the </w:t>
      </w:r>
      <w:r w:rsidR="00D568C2">
        <w:rPr>
          <w:rFonts w:eastAsia="Times New Roman" w:cs="Times New Roman"/>
          <w:szCs w:val="24"/>
        </w:rPr>
        <w:t>E</w:t>
      </w:r>
      <w:r w:rsidR="00D92EFC">
        <w:rPr>
          <w:rFonts w:eastAsia="Times New Roman" w:cs="Times New Roman"/>
          <w:szCs w:val="24"/>
        </w:rPr>
        <w:t xml:space="preserve">xecutive </w:t>
      </w:r>
      <w:r w:rsidR="00D568C2">
        <w:rPr>
          <w:rFonts w:eastAsia="Times New Roman" w:cs="Times New Roman"/>
          <w:szCs w:val="24"/>
        </w:rPr>
        <w:t>D</w:t>
      </w:r>
      <w:r w:rsidR="00D92EFC">
        <w:rPr>
          <w:rFonts w:eastAsia="Times New Roman" w:cs="Times New Roman"/>
          <w:szCs w:val="24"/>
        </w:rPr>
        <w:t xml:space="preserve">irector or employees of the Office of Regulatory Staff;  </w:t>
      </w:r>
      <w:r w:rsidR="00D92EFC">
        <w:rPr>
          <w:rFonts w:eastAsia="Times New Roman" w:cs="Times New Roman"/>
          <w:strike/>
          <w:szCs w:val="24"/>
        </w:rPr>
        <w:t>and</w:t>
      </w:r>
      <w:r w:rsidR="00D92EFC">
        <w:rPr>
          <w:rFonts w:eastAsia="Times New Roman" w:cs="Times New Roman"/>
          <w:szCs w:val="24"/>
        </w:rPr>
        <w:t xml:space="preserve">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568C2">
        <w:rPr>
          <w:rFonts w:eastAsia="Times New Roman" w:cs="Times New Roman"/>
          <w:szCs w:val="24"/>
        </w:rPr>
        <w:t>(13)</w:t>
      </w:r>
      <w:r w:rsidR="00D568C2">
        <w:rPr>
          <w:rFonts w:eastAsia="Times New Roman" w:cs="Times New Roman"/>
          <w:szCs w:val="24"/>
        </w:rPr>
        <w:tab/>
      </w:r>
      <w:r w:rsidR="00D92EFC">
        <w:rPr>
          <w:rFonts w:eastAsia="Times New Roman" w:cs="Times New Roman"/>
          <w:szCs w:val="24"/>
        </w:rPr>
        <w:t>to undertake such additional studies or evaluations as the review committee considers necessary</w:t>
      </w:r>
      <w:r w:rsidR="00D92EFC">
        <w:rPr>
          <w:rFonts w:eastAsia="Times New Roman" w:cs="Times New Roman"/>
          <w:strike/>
          <w:szCs w:val="24"/>
        </w:rPr>
        <w:t xml:space="preserve">. </w:t>
      </w:r>
      <w:r w:rsidR="00D92EFC" w:rsidRPr="00CB75AD">
        <w:rPr>
          <w:rFonts w:eastAsia="Times New Roman" w:cs="Times New Roman"/>
          <w:szCs w:val="24"/>
          <w:u w:val="single"/>
        </w:rPr>
        <w:t>;</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sidR="00D568C2">
        <w:rPr>
          <w:rFonts w:eastAsia="Times New Roman" w:cs="Times New Roman"/>
          <w:szCs w:val="24"/>
        </w:rPr>
        <w:t>(14)</w:t>
      </w:r>
      <w:r w:rsidR="00D568C2">
        <w:rPr>
          <w:rFonts w:eastAsia="Times New Roman" w:cs="Times New Roman"/>
          <w:szCs w:val="24"/>
        </w:rPr>
        <w:tab/>
      </w:r>
      <w:r w:rsidR="00D92EFC">
        <w:rPr>
          <w:rFonts w:eastAsia="Times New Roman" w:cs="Times New Roman"/>
          <w:szCs w:val="24"/>
        </w:rPr>
        <w:t>to review candidates for appointment to the South Carolina Public Service Authority Board of Directors as submitted by the Governor to determine whether the candidates meet the qualifications set forth in Section 58</w:t>
      </w:r>
      <w:r w:rsidR="00D92EFC">
        <w:rPr>
          <w:rFonts w:eastAsia="Times New Roman" w:cs="Times New Roman"/>
          <w:szCs w:val="24"/>
        </w:rPr>
        <w:noBreakHyphen/>
        <w:t>31</w:t>
      </w:r>
      <w:r w:rsidR="00D92EFC">
        <w:rPr>
          <w:rFonts w:eastAsia="Times New Roman" w:cs="Times New Roman"/>
          <w:szCs w:val="24"/>
        </w:rPr>
        <w:noBreakHyphen/>
        <w:t>20</w:t>
      </w:r>
      <w:r w:rsidR="00D92EFC">
        <w:rPr>
          <w:rFonts w:eastAsia="Times New Roman" w:cs="Times New Roman"/>
          <w:szCs w:val="24"/>
          <w:u w:val="single"/>
        </w:rPr>
        <w:t>; and</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CB75AD">
        <w:rPr>
          <w:rFonts w:eastAsia="Times New Roman" w:cs="Times New Roman"/>
          <w:szCs w:val="24"/>
        </w:rPr>
        <w:tab/>
      </w:r>
      <w:r w:rsidR="00D92EFC">
        <w:rPr>
          <w:rFonts w:eastAsia="Times New Roman" w:cs="Times New Roman"/>
          <w:szCs w:val="24"/>
          <w:u w:val="single"/>
        </w:rPr>
        <w:t>(15)</w:t>
      </w:r>
      <w:r w:rsidR="00D568C2">
        <w:rPr>
          <w:rFonts w:eastAsia="Times New Roman" w:cs="Times New Roman"/>
          <w:szCs w:val="24"/>
        </w:rPr>
        <w:tab/>
      </w:r>
      <w:r w:rsidR="00D92EFC">
        <w:rPr>
          <w:rFonts w:eastAsia="Times New Roman" w:cs="Times New Roman"/>
          <w:szCs w:val="24"/>
          <w:u w:val="single"/>
        </w:rPr>
        <w:t>to submit to the General Assembly, on an annual basis, a review of the state energy action plan of the State Energy Office as required by Section 48-52-430</w:t>
      </w:r>
      <w:r w:rsidR="00D92EFC">
        <w:rPr>
          <w:rFonts w:eastAsia="Times New Roman" w:cs="Times New Roman"/>
          <w:szCs w:val="24"/>
        </w:rPr>
        <w:t>.”</w:t>
      </w:r>
      <w:r w:rsidR="00D92EFC">
        <w:rPr>
          <w:rFonts w:eastAsia="Times New Roman" w:cs="Times New Roman"/>
          <w:szCs w:val="24"/>
        </w:rPr>
        <w:tab/>
      </w:r>
    </w:p>
    <w:p w:rsidR="00D92EFC"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5421"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842816">
        <w:rPr>
          <w:rFonts w:eastAsia="Times New Roman" w:cs="Times New Roman"/>
          <w:szCs w:val="20"/>
        </w:rPr>
        <w:t>SECTION</w:t>
      </w:r>
      <w:r w:rsidRPr="00842816">
        <w:rPr>
          <w:rFonts w:eastAsia="Times New Roman" w:cs="Times New Roman"/>
          <w:szCs w:val="20"/>
        </w:rPr>
        <w:tab/>
      </w:r>
      <w:r>
        <w:rPr>
          <w:rFonts w:eastAsia="Times New Roman" w:cs="Times New Roman"/>
          <w:szCs w:val="20"/>
        </w:rPr>
        <w:t>6</w:t>
      </w:r>
      <w:r w:rsidRPr="00842816">
        <w:rPr>
          <w:rFonts w:eastAsia="Times New Roman" w:cs="Times New Roman"/>
          <w:szCs w:val="20"/>
        </w:rPr>
        <w:t>.</w:t>
      </w:r>
      <w:r w:rsidRPr="00842816">
        <w:rPr>
          <w:rFonts w:eastAsia="Times New Roman" w:cs="Times New Roman"/>
          <w:szCs w:val="20"/>
        </w:rPr>
        <w:tab/>
      </w:r>
      <w:r w:rsidRPr="00842816">
        <w:rPr>
          <w:rFonts w:cs="Times New Roman"/>
        </w:rPr>
        <w:t>Chapter 52, Title 48 of the 1976 Code is amended by adding:</w:t>
      </w:r>
    </w:p>
    <w:p w:rsidR="00245421" w:rsidRPr="00842816"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245421"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ab/>
      </w:r>
      <w:r w:rsidRPr="00842816">
        <w:rPr>
          <w:rFonts w:cs="Times New Roman"/>
        </w:rPr>
        <w:t>“Article 12</w:t>
      </w:r>
    </w:p>
    <w:p w:rsidR="00245421" w:rsidRPr="00842816"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rsidR="00245421" w:rsidRPr="00842816"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ab/>
      </w:r>
      <w:r w:rsidRPr="00842816">
        <w:rPr>
          <w:rFonts w:cs="Times New Roman"/>
        </w:rPr>
        <w:t>State Government Energy Efficiency</w:t>
      </w:r>
    </w:p>
    <w:p w:rsidR="00245421"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ab/>
      </w:r>
      <w:r w:rsidRPr="00842816">
        <w:rPr>
          <w:rFonts w:cs="Times New Roman"/>
        </w:rPr>
        <w:t>and Renewable Energy Goals</w:t>
      </w:r>
    </w:p>
    <w:p w:rsidR="00245421" w:rsidRPr="00842816"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rsidR="00245421" w:rsidRPr="00842816"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842816">
        <w:rPr>
          <w:rFonts w:eastAsia="Times New Roman" w:cs="Times New Roman"/>
          <w:snapToGrid w:val="0"/>
          <w:szCs w:val="20"/>
        </w:rPr>
        <w:tab/>
        <w:t>Section 48-52-910.</w:t>
      </w:r>
      <w:r w:rsidRPr="00842816">
        <w:rPr>
          <w:rFonts w:eastAsia="Times New Roman" w:cs="Times New Roman"/>
          <w:snapToGrid w:val="0"/>
          <w:szCs w:val="20"/>
        </w:rPr>
        <w:tab/>
      </w:r>
      <w:r w:rsidRPr="00842816">
        <w:rPr>
          <w:rFonts w:cs="Times New Roman"/>
          <w:u w:color="000000" w:themeColor="text1"/>
        </w:rPr>
        <w:t>(A)</w:t>
      </w:r>
      <w:r w:rsidRPr="00842816">
        <w:rPr>
          <w:rFonts w:cs="Times New Roman"/>
          <w:u w:color="000000" w:themeColor="text1"/>
        </w:rPr>
        <w:tab/>
        <w:t>Each agency must consider reductions of its energy, water, and wastewater use, and must implement recommended conservation measures to the degree the agency determines that the measures are cost effective.  An audit must be performed by internal or external auditors, or by an energy services company in the manner provided in Section 48</w:t>
      </w:r>
      <w:r w:rsidRPr="00842816">
        <w:rPr>
          <w:rFonts w:cs="Times New Roman"/>
          <w:u w:color="000000" w:themeColor="text1"/>
        </w:rPr>
        <w:noBreakHyphen/>
        <w:t>52</w:t>
      </w:r>
      <w:r w:rsidRPr="00842816">
        <w:rPr>
          <w:rFonts w:cs="Times New Roman"/>
          <w:u w:color="000000" w:themeColor="text1"/>
        </w:rPr>
        <w:noBreakHyphen/>
        <w:t>670.  Audit results and recommendations must be included in the report to the State Energy Office.</w:t>
      </w:r>
      <w:r w:rsidRPr="00842816">
        <w:rPr>
          <w:rFonts w:cs="Times New Roman"/>
          <w:u w:color="000000" w:themeColor="text1"/>
        </w:rPr>
        <w:tab/>
      </w:r>
    </w:p>
    <w:p w:rsidR="00245421" w:rsidRDefault="00245421" w:rsidP="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842816">
        <w:rPr>
          <w:rFonts w:cs="Times New Roman"/>
          <w:u w:color="000000" w:themeColor="text1"/>
        </w:rPr>
        <w:tab/>
        <w:t>(B)</w:t>
      </w:r>
      <w:r w:rsidRPr="00842816">
        <w:rPr>
          <w:rFonts w:cs="Times New Roman"/>
          <w:u w:color="000000" w:themeColor="text1"/>
        </w:rPr>
        <w:tab/>
        <w:t>Each agency must comply with this section by July 1, 2011.</w:t>
      </w:r>
      <w:r w:rsidRPr="00842816">
        <w:rPr>
          <w:rFonts w:cs="Times New Roman"/>
        </w:rPr>
        <w:t>”</w:t>
      </w:r>
    </w:p>
    <w:p w:rsidR="00245421" w:rsidRDefault="0024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r>
      <w:r w:rsidR="00B6130E">
        <w:rPr>
          <w:rFonts w:eastAsia="Times New Roman" w:cs="Times New Roman"/>
        </w:rPr>
        <w:t>7</w:t>
      </w:r>
      <w:r w:rsidR="004B26B5">
        <w:rPr>
          <w:rFonts w:eastAsia="Times New Roman" w:cs="Times New Roman"/>
        </w:rPr>
        <w:t>.</w:t>
      </w:r>
      <w:r w:rsidR="004B26B5">
        <w:rPr>
          <w:rFonts w:eastAsia="Times New Roman" w:cs="Times New Roman"/>
        </w:rPr>
        <w:tab/>
        <w:t>This act takes effect upon approval by the Governor.</w:t>
      </w:r>
    </w:p>
    <w:p w:rsidR="00BF0F0E" w:rsidRDefault="004B26B5" w:rsidP="00316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BF0F0E" w:rsidSect="004B26B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68C2" w:rsidRDefault="00D568C2" w:rsidP="00BF0F0E">
      <w:r>
        <w:separator/>
      </w:r>
    </w:p>
  </w:endnote>
  <w:endnote w:type="continuationSeparator" w:id="1">
    <w:p w:rsidR="00D568C2" w:rsidRDefault="00D568C2" w:rsidP="00BF0F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7EF15E-8CEA-451D-918F-AF50D6626095}"/>
    <w:embedBold r:id="rId2" w:fontKey="{23434ED9-84E8-408B-9BC3-88FB8810C4EF}"/>
  </w:font>
  <w:font w:name="Calibri">
    <w:panose1 w:val="020F0502020204030204"/>
    <w:charset w:val="00"/>
    <w:family w:val="swiss"/>
    <w:pitch w:val="variable"/>
    <w:sig w:usb0="A00002EF" w:usb1="4000207B" w:usb2="00000000" w:usb3="00000000" w:csb0="0000009F" w:csb1="00000000"/>
    <w:embedRegular r:id="rId3" w:fontKey="{4D2568AC-50B4-4ECE-A690-69827FB381F0}"/>
  </w:font>
  <w:font w:name="Tahoma">
    <w:panose1 w:val="020B0604030504040204"/>
    <w:charset w:val="00"/>
    <w:family w:val="swiss"/>
    <w:pitch w:val="variable"/>
    <w:sig w:usb0="61002A87" w:usb1="80000000" w:usb2="00000008" w:usb3="00000000" w:csb0="000101FF" w:csb1="00000000"/>
    <w:embedRegular r:id="rId4" w:fontKey="{77E4CFC1-49C6-47AB-822C-9D380BB24EB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317B88CD-8F49-41B5-9A7C-912A7CAEF7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C2" w:rsidRDefault="00D568C2">
    <w:pPr>
      <w:pStyle w:val="Footer"/>
      <w:tabs>
        <w:tab w:val="clear" w:pos="4680"/>
        <w:tab w:val="clear" w:pos="9360"/>
        <w:tab w:val="center" w:pos="2995"/>
      </w:tabs>
      <w:spacing w:before="120"/>
    </w:pPr>
    <w:r>
      <w:t>[232-</w:t>
    </w:r>
    <w:fldSimple w:instr=" PAGE  \* MERGEFORMAT ">
      <w:r w:rsidR="0031656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C2" w:rsidRDefault="00D568C2">
    <w:pPr>
      <w:pStyle w:val="Footer"/>
      <w:tabs>
        <w:tab w:val="clear" w:pos="4680"/>
        <w:tab w:val="clear" w:pos="9360"/>
        <w:tab w:val="center" w:pos="2995"/>
      </w:tabs>
      <w:spacing w:before="120"/>
    </w:pPr>
    <w:r>
      <w:t>[232]</w:t>
    </w:r>
    <w:r>
      <w:tab/>
    </w:r>
    <w:fldSimple w:instr=" PAGE  \* MERGEFORMAT ">
      <w:r w:rsidR="003165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68C2" w:rsidRDefault="00D568C2" w:rsidP="00BF0F0E">
      <w:r>
        <w:separator/>
      </w:r>
    </w:p>
  </w:footnote>
  <w:footnote w:type="continuationSeparator" w:id="1">
    <w:p w:rsidR="00D568C2" w:rsidRDefault="00D568C2" w:rsidP="00BF0F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BF0F0E"/>
    <w:rsid w:val="000A2BE9"/>
    <w:rsid w:val="001B344F"/>
    <w:rsid w:val="00245421"/>
    <w:rsid w:val="00254388"/>
    <w:rsid w:val="00284ED5"/>
    <w:rsid w:val="002E4F5B"/>
    <w:rsid w:val="00316565"/>
    <w:rsid w:val="0033085C"/>
    <w:rsid w:val="00425F0F"/>
    <w:rsid w:val="004B26B5"/>
    <w:rsid w:val="006978C6"/>
    <w:rsid w:val="00A0211A"/>
    <w:rsid w:val="00B6130E"/>
    <w:rsid w:val="00BA44F4"/>
    <w:rsid w:val="00BB3A0B"/>
    <w:rsid w:val="00BF0F0E"/>
    <w:rsid w:val="00CB75AD"/>
    <w:rsid w:val="00D568C2"/>
    <w:rsid w:val="00D80578"/>
    <w:rsid w:val="00D92EFC"/>
    <w:rsid w:val="00E67FA4"/>
    <w:rsid w:val="00F250B7"/>
    <w:rsid w:val="00F943B8"/>
    <w:rsid w:val="00FE48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F0F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F0F0E"/>
    <w:rPr>
      <w:szCs w:val="21"/>
    </w:rPr>
  </w:style>
  <w:style w:type="character" w:customStyle="1" w:styleId="PlainTextChar">
    <w:name w:val="Plain Text Char"/>
    <w:basedOn w:val="DefaultParagraphFont"/>
    <w:link w:val="PlainText"/>
    <w:uiPriority w:val="99"/>
    <w:rsid w:val="00BF0F0E"/>
    <w:rPr>
      <w:szCs w:val="21"/>
    </w:rPr>
  </w:style>
  <w:style w:type="paragraph" w:styleId="BodyText">
    <w:name w:val="Body Text"/>
    <w:basedOn w:val="Normal"/>
    <w:link w:val="BodyTextChar"/>
    <w:uiPriority w:val="99"/>
    <w:locked/>
    <w:rsid w:val="00BF0F0E"/>
  </w:style>
  <w:style w:type="character" w:customStyle="1" w:styleId="BodyTextChar">
    <w:name w:val="Body Text Char"/>
    <w:basedOn w:val="DefaultParagraphFont"/>
    <w:link w:val="BodyText"/>
    <w:uiPriority w:val="99"/>
    <w:rsid w:val="00BF0F0E"/>
  </w:style>
  <w:style w:type="paragraph" w:styleId="BalloonText">
    <w:name w:val="Balloon Text"/>
    <w:next w:val="Normal"/>
    <w:link w:val="BalloonTextChar"/>
    <w:uiPriority w:val="99"/>
    <w:unhideWhenUsed/>
    <w:rsid w:val="00BF0F0E"/>
    <w:rPr>
      <w:rFonts w:cs="Tahoma"/>
      <w:szCs w:val="16"/>
    </w:rPr>
  </w:style>
  <w:style w:type="character" w:customStyle="1" w:styleId="BalloonTextChar">
    <w:name w:val="Balloon Text Char"/>
    <w:basedOn w:val="DefaultParagraphFont"/>
    <w:link w:val="BalloonText"/>
    <w:uiPriority w:val="99"/>
    <w:rsid w:val="00BF0F0E"/>
    <w:rPr>
      <w:rFonts w:cs="Tahoma"/>
      <w:szCs w:val="16"/>
    </w:rPr>
  </w:style>
  <w:style w:type="paragraph" w:styleId="NormalWeb">
    <w:name w:val="Normal (Web)"/>
    <w:basedOn w:val="Normal"/>
    <w:next w:val="Normal"/>
    <w:semiHidden/>
    <w:locked/>
    <w:rsid w:val="00BF0F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BF0F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BF0F0E"/>
    <w:rPr>
      <w:rFonts w:cs="Times New Roman"/>
    </w:rPr>
  </w:style>
  <w:style w:type="character" w:styleId="LineNumber">
    <w:name w:val="line number"/>
    <w:basedOn w:val="DefaultParagraphFont"/>
    <w:uiPriority w:val="99"/>
    <w:semiHidden/>
    <w:unhideWhenUsed/>
    <w:locked/>
    <w:rsid w:val="004B26B5"/>
  </w:style>
  <w:style w:type="paragraph" w:styleId="Header">
    <w:name w:val="header"/>
    <w:basedOn w:val="Normal"/>
    <w:link w:val="HeaderChar"/>
    <w:uiPriority w:val="99"/>
    <w:semiHidden/>
    <w:unhideWhenUsed/>
    <w:locked/>
    <w:rsid w:val="004B26B5"/>
    <w:pPr>
      <w:tabs>
        <w:tab w:val="center" w:pos="4680"/>
        <w:tab w:val="right" w:pos="9360"/>
      </w:tabs>
    </w:pPr>
  </w:style>
  <w:style w:type="character" w:customStyle="1" w:styleId="HeaderChar">
    <w:name w:val="Header Char"/>
    <w:basedOn w:val="DefaultParagraphFont"/>
    <w:link w:val="Header"/>
    <w:uiPriority w:val="99"/>
    <w:semiHidden/>
    <w:rsid w:val="004B26B5"/>
  </w:style>
  <w:style w:type="paragraph" w:styleId="EnvelopeReturn">
    <w:name w:val="envelope return"/>
    <w:basedOn w:val="Normal"/>
    <w:uiPriority w:val="99"/>
    <w:unhideWhenUsed/>
    <w:locked/>
    <w:rsid w:val="00D92EFC"/>
    <w:pPr>
      <w:jc w:val="left"/>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locked/>
    <w:rsid w:val="00A021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1630</Words>
  <Characters>8935</Characters>
  <Application>Microsoft Office Word</Application>
  <DocSecurity>0</DocSecurity>
  <Lines>248</Lines>
  <Paragraphs>82</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10483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2009-04-30T00:29:00Z</cp:lastPrinted>
  <dcterms:created xsi:type="dcterms:W3CDTF">2009-04-30T00:30:00Z</dcterms:created>
  <dcterms:modified xsi:type="dcterms:W3CDTF">2009-04-30T00:30:00Z</dcterms:modified>
</cp:coreProperties>
</file>