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5</w:t>
      </w:r>
      <w:r>
        <w:noBreakHyphen/>
        <w:t>1556 SO AS TO ESTABLISH SEASONAL CREEL AND SIZE LIMITS FOR STRIPED BASS IN THE INSHORE WATERS AND THE TERRITORIAL SEA; AND TO AMEND SECTION 50</w:t>
      </w:r>
      <w:r>
        <w:noBreakHyphen/>
        <w:t>13</w:t>
      </w:r>
      <w:r>
        <w:noBreakHyphen/>
        <w:t>221, RELATING TO STRIPED BASS IN THE LOWER SANTEE AND COOPER RIVERS, SO AS TO ESTABLISH SEASONAL CREEL AND SIZE LIMITS FOR STRIPED BASS IN CERTAIN FRESHWATER BODIES.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15, Chapter 5,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5</w:t>
      </w:r>
      <w:r>
        <w:noBreakHyphen/>
        <w:t>1556.</w:t>
      </w:r>
      <w:r>
        <w:tab/>
        <w:t>(A)</w:t>
      </w:r>
      <w:r>
        <w:tab/>
        <w:t>In the inshore waters and the territorial sea from June first through September thirtieth it is unlawful to possess any striped bass (rockfish). Any striped bass taken must be returned immediately to the waters from where it came.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the inshore waters and the territorial sea from October first through May thirty</w:t>
      </w:r>
      <w:r>
        <w:noBreakHyphen/>
        <w:t>first it is unlawful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take or possess more than three striped bass per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take any striped bass less than twenty</w:t>
      </w:r>
      <w:r>
        <w:noBreakHyphen/>
        <w:t>six inches in length; or</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land any striped bass without the head and tail fin intact.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Natural Resources shall make recommendations, after study, on any needed modification to this section before January 1,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50</w:t>
      </w:r>
      <w:r>
        <w:noBreakHyphen/>
        <w:t>13</w:t>
      </w:r>
      <w:r>
        <w:noBreakHyphen/>
        <w:t>221 of the 1976 Code, as added by Act 237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13</w:t>
      </w:r>
      <w:r>
        <w:rPr>
          <w:szCs w:val="24"/>
        </w:rPr>
        <w:noBreakHyphen/>
        <w:t>221.</w:t>
      </w:r>
      <w:r>
        <w:rPr>
          <w:szCs w:val="24"/>
        </w:rPr>
        <w:tab/>
        <w:t>(A)</w:t>
      </w:r>
      <w:r>
        <w:rPr>
          <w:szCs w:val="24"/>
        </w:rPr>
        <w:tab/>
        <w:t xml:space="preserve">In the </w:t>
      </w:r>
      <w:r>
        <w:rPr>
          <w:strike/>
          <w:szCs w:val="24"/>
        </w:rPr>
        <w:t>Lower Santee River and Cooper River systems</w:t>
      </w:r>
      <w:r>
        <w:rPr>
          <w:szCs w:val="24"/>
        </w:rPr>
        <w:t xml:space="preserve"> </w:t>
      </w:r>
      <w:r>
        <w:rPr>
          <w:szCs w:val="24"/>
          <w:u w:val="single"/>
        </w:rPr>
        <w:t xml:space="preserve">following freshwater bodies: the Ashepoo River; </w:t>
      </w:r>
      <w:r>
        <w:rPr>
          <w:u w:val="single"/>
        </w:rPr>
        <w:t>Ashley River; Back River in Jasper County and the Back</w:t>
      </w:r>
      <w:r>
        <w:t xml:space="preserve"> </w:t>
      </w:r>
      <w:r>
        <w:rPr>
          <w:u w:val="single"/>
        </w:rPr>
        <w:t>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Tullifinny; Thoroughfare Creek; and Waccamaw River</w:t>
      </w:r>
      <w:r>
        <w:rPr>
          <w:szCs w:val="24"/>
        </w:rPr>
        <w:t xml:space="preserve"> from June first to September thirtieth, it is unlawful to possess any striped bass.  Any striped bass taken must be returned immediately to the waters from </w:t>
      </w:r>
      <w:r>
        <w:rPr>
          <w:strike/>
          <w:szCs w:val="24"/>
        </w:rPr>
        <w:t>whence</w:t>
      </w:r>
      <w:r>
        <w:rPr>
          <w:szCs w:val="24"/>
        </w:rPr>
        <w:t xml:space="preserve"> </w:t>
      </w:r>
      <w:r>
        <w:rPr>
          <w:szCs w:val="24"/>
          <w:u w:val="single"/>
        </w:rPr>
        <w:t>where</w:t>
      </w:r>
      <w:r>
        <w:rPr>
          <w:szCs w:val="24"/>
        </w:rPr>
        <w:t xml:space="preserve"> it came.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the </w:t>
      </w:r>
      <w:r>
        <w:rPr>
          <w:strike/>
          <w:szCs w:val="24"/>
        </w:rPr>
        <w:t>Lower Santee River and Cooper River systems</w:t>
      </w:r>
      <w:r>
        <w:rPr>
          <w:szCs w:val="24"/>
        </w:rPr>
        <w:t xml:space="preserve"> </w:t>
      </w:r>
      <w:r>
        <w:rPr>
          <w:u w:val="single"/>
        </w:rPr>
        <w:t>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Tullifinny; Thoroughfare Creek; and Waccamaw River</w:t>
      </w:r>
      <w:r>
        <w:rPr>
          <w:szCs w:val="24"/>
        </w:rPr>
        <w:t xml:space="preserve"> from October first through May thirty</w:t>
      </w:r>
      <w:r>
        <w:rPr>
          <w:szCs w:val="24"/>
        </w:rPr>
        <w:noBreakHyphen/>
        <w:t xml:space="preserve">first, it is unlawful to take or possess more than three striped bass per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the </w:t>
      </w:r>
      <w:r>
        <w:rPr>
          <w:strike/>
          <w:szCs w:val="24"/>
        </w:rPr>
        <w:t>Lower Santee River and Cooper River systems</w:t>
      </w:r>
      <w:r>
        <w:rPr>
          <w:szCs w:val="24"/>
        </w:rPr>
        <w:t xml:space="preserve"> </w:t>
      </w:r>
      <w:r>
        <w:rPr>
          <w:u w:val="single"/>
        </w:rPr>
        <w:t>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in Beaufort, Jasper, and Hampton Counties; Salkehatchie and Little Salkehatchie Rivers; Sampit River; Lower Santee River system; Savannah River; Tullifinny; Thoroughfare Creek; and Waccamaw River</w:t>
      </w:r>
      <w:r>
        <w:rPr>
          <w:szCs w:val="24"/>
        </w:rPr>
        <w:t xml:space="preserve"> from October first through May thirty</w:t>
      </w:r>
      <w:r>
        <w:rPr>
          <w:szCs w:val="24"/>
        </w:rPr>
        <w:noBreakHyphen/>
        <w:t>first, it is unlawful to take or possess a striped bass less than twenty</w:t>
      </w:r>
      <w:r>
        <w:rPr>
          <w:szCs w:val="24"/>
        </w:rPr>
        <w:noBreakHyphen/>
        <w:t xml:space="preserve">six inches in total length.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t xml:space="preserve">Striped bass must be landed with head and tail fin intact.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The Department of Natural Resources shall make recommendations, after study, on any needed modification to the restrictions in this section before January 1,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8159D7-4BE7-480E-B8E5-227AA571BD79}"/>
    <w:embedBold r:id="rId2" w:fontKey="{C76E419E-53DF-461E-B644-2CEB4566E514}"/>
  </w:font>
  <w:font w:name="Calibri">
    <w:panose1 w:val="020F0502020204030204"/>
    <w:charset w:val="00"/>
    <w:family w:val="swiss"/>
    <w:pitch w:val="variable"/>
    <w:sig w:usb0="A00002EF" w:usb1="4000207B" w:usb2="00000000" w:usb3="00000000" w:csb0="0000009F" w:csb1="00000000"/>
    <w:embedRegular r:id="rId3" w:fontKey="{5599E8BF-CCFE-4F81-A2F9-F31DC49689EB}"/>
  </w:font>
  <w:font w:name="Tahoma">
    <w:panose1 w:val="020B0604030504040204"/>
    <w:charset w:val="00"/>
    <w:family w:val="swiss"/>
    <w:pitch w:val="variable"/>
    <w:sig w:usb0="61002A87" w:usb1="80000000" w:usb2="00000008" w:usb3="00000000" w:csb0="000101FF" w:csb1="00000000"/>
    <w:embedRegular r:id="rId4" w:fontKey="{A82DA7FE-B27F-4E93-A4EA-7A93A21B5E79}"/>
  </w:font>
  <w:font w:name="Cambria">
    <w:panose1 w:val="02040503050406030204"/>
    <w:charset w:val="00"/>
    <w:family w:val="roman"/>
    <w:pitch w:val="variable"/>
    <w:sig w:usb0="A00002EF" w:usb1="4000004B" w:usb2="00000000" w:usb3="00000000" w:csb0="0000009F" w:csb1="00000000"/>
    <w:embedRegular r:id="rId5" w:fontKey="{8BF68BE6-2903-4939-9F6C-BE3914D245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28ZW09"/>
    <w:docVar w:name="CoverBillType" w:val="b"/>
    <w:docVar w:name="docpath" w:val="L:\Council\bills\MS\7328ZW09.DOCX"/>
    <w:docVar w:name="dvBillNumber" w:val="391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2009-04-13T18:26:00Z</cp:lastPrinted>
  <dcterms:created xsi:type="dcterms:W3CDTF">2009-04-21T17:30:00Z</dcterms:created>
  <dcterms:modified xsi:type="dcterms:W3CDTF">2009-04-21T17:30:00Z</dcterms:modified>
</cp:coreProperties>
</file>