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23F" w:rsidRDefault="004E023F" w:rsidP="004E023F">
      <w:pPr>
        <w:widowControl w:val="0"/>
        <w:jc w:val="center"/>
      </w:pPr>
      <w:bookmarkStart w:id="0" w:name="_GoBack"/>
      <w:bookmarkEnd w:id="0"/>
      <w:r w:rsidRPr="004E023F">
        <w:rPr>
          <w:b/>
        </w:rPr>
        <w:t>South Carolina General Assembly</w:t>
      </w:r>
    </w:p>
    <w:p w:rsidR="004E023F" w:rsidRDefault="004E023F" w:rsidP="004E023F">
      <w:pPr>
        <w:widowControl w:val="0"/>
        <w:jc w:val="center"/>
      </w:pPr>
      <w:r>
        <w:t>119th Session, 2011-2012</w:t>
      </w:r>
    </w:p>
    <w:p w:rsidR="004E023F" w:rsidRDefault="004E023F" w:rsidP="004E023F">
      <w:pPr>
        <w:widowControl w:val="0"/>
      </w:pPr>
    </w:p>
    <w:p w:rsidR="004E023F" w:rsidRDefault="004E023F" w:rsidP="004E023F">
      <w:pPr>
        <w:widowControl w:val="0"/>
        <w:rPr>
          <w:b/>
        </w:rPr>
      </w:pPr>
      <w:r w:rsidRPr="004E023F">
        <w:rPr>
          <w:b/>
        </w:rPr>
        <w:t>S.</w:t>
      </w:r>
      <w:r>
        <w:rPr>
          <w:b/>
        </w:rPr>
        <w:t xml:space="preserve"> </w:t>
      </w:r>
      <w:r w:rsidRPr="004E023F">
        <w:rPr>
          <w:b/>
        </w:rPr>
        <w:t>1321</w:t>
      </w:r>
    </w:p>
    <w:p w:rsidR="004E023F" w:rsidRDefault="004E023F" w:rsidP="004E023F">
      <w:pPr>
        <w:widowControl w:val="0"/>
        <w:rPr>
          <w:b/>
        </w:rPr>
      </w:pPr>
    </w:p>
    <w:p w:rsidR="004E023F" w:rsidRDefault="004E023F" w:rsidP="004E023F">
      <w:pPr>
        <w:widowControl w:val="0"/>
      </w:pPr>
      <w:r w:rsidRPr="004E023F">
        <w:rPr>
          <w:b/>
        </w:rPr>
        <w:t>STATUS INFORMATION</w:t>
      </w:r>
    </w:p>
    <w:p w:rsidR="004E023F" w:rsidRDefault="004E023F" w:rsidP="004E023F">
      <w:pPr>
        <w:widowControl w:val="0"/>
      </w:pPr>
    </w:p>
    <w:p w:rsidR="004E023F" w:rsidRDefault="004E023F" w:rsidP="004E023F">
      <w:pPr>
        <w:widowControl w:val="0"/>
      </w:pPr>
      <w:r>
        <w:t>General Bill</w:t>
      </w:r>
    </w:p>
    <w:p w:rsidR="004E023F" w:rsidRDefault="000641BA" w:rsidP="004E023F">
      <w:pPr>
        <w:widowControl w:val="0"/>
      </w:pPr>
      <w:r>
        <w:t>Sponsors: Senators Malloy, McConnell, Knotts, Ford and Campsen</w:t>
      </w:r>
    </w:p>
    <w:p w:rsidR="004E023F" w:rsidRDefault="004E023F" w:rsidP="004E023F">
      <w:pPr>
        <w:widowControl w:val="0"/>
      </w:pPr>
      <w:r>
        <w:t>Document Path: l:\s-jud\bills\malloy\jud0171.jjg.docx</w:t>
      </w:r>
    </w:p>
    <w:p w:rsidR="004E023F" w:rsidRDefault="004E023F" w:rsidP="004E023F">
      <w:pPr>
        <w:widowControl w:val="0"/>
      </w:pPr>
    </w:p>
    <w:p w:rsidR="00D12C82" w:rsidRDefault="00D12C82" w:rsidP="004E023F">
      <w:pPr>
        <w:widowControl w:val="0"/>
      </w:pPr>
      <w:r>
        <w:t>Introduced in the Senate on March 7, 2012</w:t>
      </w:r>
    </w:p>
    <w:p w:rsidR="00D12C82" w:rsidRDefault="00D12C82" w:rsidP="004E023F">
      <w:pPr>
        <w:widowControl w:val="0"/>
      </w:pPr>
      <w:r>
        <w:t>Introduced in the House on April 24, 2012</w:t>
      </w:r>
    </w:p>
    <w:p w:rsidR="00D12C82" w:rsidRDefault="00D12C82" w:rsidP="004E023F">
      <w:pPr>
        <w:widowControl w:val="0"/>
      </w:pPr>
      <w:r>
        <w:t>Last Amended on June 6, 2012</w:t>
      </w:r>
    </w:p>
    <w:p w:rsidR="00D12C82" w:rsidRDefault="00D12C82" w:rsidP="004E023F">
      <w:pPr>
        <w:widowControl w:val="0"/>
      </w:pPr>
      <w:r>
        <w:t>Currently residing in conference committee</w:t>
      </w:r>
    </w:p>
    <w:p w:rsidR="00D12C82" w:rsidRDefault="00D12C82" w:rsidP="004E023F">
      <w:pPr>
        <w:widowControl w:val="0"/>
      </w:pPr>
    </w:p>
    <w:p w:rsidR="004E023F" w:rsidRDefault="004E023F" w:rsidP="004E023F">
      <w:pPr>
        <w:widowControl w:val="0"/>
      </w:pPr>
      <w:r>
        <w:t xml:space="preserve">Summary: </w:t>
      </w:r>
      <w:r w:rsidR="00185A56">
        <w:t>Amendment to the Omnibus Crime Reduction and Sentencing Reform Act</w:t>
      </w:r>
    </w:p>
    <w:p w:rsidR="004E023F" w:rsidRDefault="004E023F" w:rsidP="004E023F">
      <w:pPr>
        <w:widowControl w:val="0"/>
      </w:pPr>
    </w:p>
    <w:p w:rsidR="004E023F" w:rsidRDefault="004E023F" w:rsidP="004E023F">
      <w:pPr>
        <w:widowControl w:val="0"/>
      </w:pPr>
    </w:p>
    <w:p w:rsidR="004E023F" w:rsidRDefault="004E023F" w:rsidP="004E023F">
      <w:pPr>
        <w:widowControl w:val="0"/>
        <w:tabs>
          <w:tab w:val="center" w:pos="590"/>
          <w:tab w:val="center" w:pos="1440"/>
          <w:tab w:val="left" w:pos="1872"/>
          <w:tab w:val="left" w:pos="9187"/>
        </w:tabs>
      </w:pPr>
      <w:r w:rsidRPr="004E023F">
        <w:rPr>
          <w:b/>
        </w:rPr>
        <w:t>HISTORY OF LEGISLATIVE ACTIONS</w:t>
      </w:r>
    </w:p>
    <w:p w:rsidR="004E023F" w:rsidRDefault="004E023F" w:rsidP="004E023F">
      <w:pPr>
        <w:widowControl w:val="0"/>
        <w:tabs>
          <w:tab w:val="center" w:pos="590"/>
          <w:tab w:val="center" w:pos="1440"/>
          <w:tab w:val="left" w:pos="1872"/>
          <w:tab w:val="left" w:pos="9187"/>
        </w:tabs>
      </w:pPr>
    </w:p>
    <w:p w:rsidR="004E023F" w:rsidRPr="004E023F" w:rsidRDefault="004E023F" w:rsidP="004E023F">
      <w:pPr>
        <w:widowControl w:val="0"/>
        <w:tabs>
          <w:tab w:val="center" w:pos="590"/>
          <w:tab w:val="center" w:pos="1440"/>
          <w:tab w:val="left" w:pos="1872"/>
          <w:tab w:val="left" w:pos="9187"/>
        </w:tabs>
      </w:pPr>
      <w:r w:rsidRPr="004E023F">
        <w:rPr>
          <w:u w:val="single"/>
        </w:rPr>
        <w:tab/>
        <w:t>Date</w:t>
      </w:r>
      <w:r w:rsidRPr="004E023F">
        <w:rPr>
          <w:u w:val="single"/>
        </w:rPr>
        <w:tab/>
        <w:t>Body</w:t>
      </w:r>
      <w:r w:rsidRPr="004E023F">
        <w:rPr>
          <w:u w:val="single"/>
        </w:rPr>
        <w:tab/>
        <w:t>Action Description with journal page number</w:t>
      </w:r>
      <w:r w:rsidRPr="004E023F">
        <w:rPr>
          <w:u w:val="single"/>
        </w:rPr>
        <w:tab/>
      </w:r>
    </w:p>
    <w:p w:rsidR="007A7A02" w:rsidRDefault="007A7A02" w:rsidP="007A7A02">
      <w:pPr>
        <w:widowControl w:val="0"/>
        <w:tabs>
          <w:tab w:val="right" w:pos="1008"/>
          <w:tab w:val="left" w:pos="1152"/>
          <w:tab w:val="left" w:pos="1872"/>
          <w:tab w:val="left" w:pos="9187"/>
        </w:tabs>
        <w:ind w:left="2088" w:hanging="2088"/>
      </w:pPr>
      <w:r>
        <w:tab/>
        <w:t>3/7/2012</w:t>
      </w:r>
      <w:r>
        <w:tab/>
        <w:t>Senate</w:t>
      </w:r>
      <w:r>
        <w:tab/>
      </w:r>
      <w:r w:rsidRPr="00300806">
        <w:t>Introduced and read first time (</w:t>
      </w:r>
      <w:hyperlink r:id="rId6" w:history="1">
        <w:r w:rsidRPr="00300806">
          <w:rPr>
            <w:rStyle w:val="Hyperlink"/>
          </w:rPr>
          <w:t>Senate Journal</w:t>
        </w:r>
        <w:r w:rsidRPr="00300806">
          <w:rPr>
            <w:rStyle w:val="Hyperlink"/>
          </w:rPr>
          <w:noBreakHyphen/>
          <w:t>page 7</w:t>
        </w:r>
      </w:hyperlink>
      <w:r w:rsidRPr="00300806">
        <w:t>)</w:t>
      </w:r>
    </w:p>
    <w:p w:rsidR="007A7A02" w:rsidRDefault="007A7A02" w:rsidP="007A7A02">
      <w:pPr>
        <w:widowControl w:val="0"/>
        <w:tabs>
          <w:tab w:val="right" w:pos="1008"/>
          <w:tab w:val="left" w:pos="1152"/>
          <w:tab w:val="left" w:pos="1872"/>
          <w:tab w:val="left" w:pos="9187"/>
        </w:tabs>
        <w:ind w:left="2088" w:hanging="2088"/>
      </w:pPr>
      <w:r>
        <w:tab/>
        <w:t>3/7/2012</w:t>
      </w:r>
      <w:r>
        <w:tab/>
        <w:t>Senate</w:t>
      </w:r>
      <w:r>
        <w:tab/>
      </w:r>
      <w:r w:rsidRPr="00300806">
        <w:t>Ref</w:t>
      </w:r>
      <w:r>
        <w:t xml:space="preserve">erred to Committee on </w:t>
      </w:r>
      <w:r w:rsidRPr="00300806">
        <w:rPr>
          <w:b/>
        </w:rPr>
        <w:t>Judiciary</w:t>
      </w:r>
      <w:r>
        <w:t xml:space="preserve"> </w:t>
      </w:r>
      <w:r w:rsidRPr="00300806">
        <w:t>(</w:t>
      </w:r>
      <w:hyperlink r:id="rId7" w:history="1">
        <w:r w:rsidRPr="00300806">
          <w:rPr>
            <w:rStyle w:val="Hyperlink"/>
          </w:rPr>
          <w:t>Senate Journal</w:t>
        </w:r>
        <w:r w:rsidRPr="00300806">
          <w:rPr>
            <w:rStyle w:val="Hyperlink"/>
          </w:rPr>
          <w:noBreakHyphen/>
          <w:t>page 7</w:t>
        </w:r>
      </w:hyperlink>
      <w:r w:rsidRPr="00300806">
        <w:t>)</w:t>
      </w:r>
    </w:p>
    <w:p w:rsidR="007A7A02" w:rsidRDefault="007A7A02" w:rsidP="007A7A02">
      <w:pPr>
        <w:widowControl w:val="0"/>
        <w:tabs>
          <w:tab w:val="right" w:pos="1008"/>
          <w:tab w:val="left" w:pos="1152"/>
          <w:tab w:val="left" w:pos="1872"/>
          <w:tab w:val="left" w:pos="9187"/>
        </w:tabs>
        <w:ind w:left="2088" w:hanging="2088"/>
      </w:pPr>
      <w:r>
        <w:tab/>
        <w:t>3/8/2012</w:t>
      </w:r>
      <w:r>
        <w:tab/>
        <w:t>Senate</w:t>
      </w:r>
      <w:r>
        <w:tab/>
      </w:r>
      <w:r w:rsidRPr="00300806">
        <w:t>Referred to S</w:t>
      </w:r>
      <w:r>
        <w:t xml:space="preserve">ubcommittee: Malloy (ch), Ford, </w:t>
      </w:r>
      <w:r w:rsidRPr="00300806">
        <w:t>Knotts, Campsen</w:t>
      </w:r>
    </w:p>
    <w:p w:rsidR="007A7A02" w:rsidRDefault="007A7A02" w:rsidP="007A7A02">
      <w:pPr>
        <w:widowControl w:val="0"/>
        <w:tabs>
          <w:tab w:val="right" w:pos="1008"/>
          <w:tab w:val="left" w:pos="1152"/>
          <w:tab w:val="left" w:pos="1872"/>
          <w:tab w:val="left" w:pos="9187"/>
        </w:tabs>
        <w:ind w:left="2088" w:hanging="2088"/>
      </w:pPr>
      <w:r>
        <w:tab/>
        <w:t>3/21/2012</w:t>
      </w:r>
      <w:r>
        <w:tab/>
        <w:t>Senate</w:t>
      </w:r>
      <w:r>
        <w:tab/>
      </w:r>
      <w:r w:rsidRPr="00300806">
        <w:t>Comm</w:t>
      </w:r>
      <w:r>
        <w:t xml:space="preserve">ittee report: Favorable </w:t>
      </w:r>
      <w:r w:rsidRPr="00300806">
        <w:rPr>
          <w:b/>
        </w:rPr>
        <w:t>Finance</w:t>
      </w:r>
      <w:r>
        <w:t xml:space="preserve"> </w:t>
      </w:r>
      <w:r w:rsidRPr="00300806">
        <w:t>(</w:t>
      </w:r>
      <w:hyperlink r:id="rId8" w:history="1">
        <w:r w:rsidRPr="00300806">
          <w:rPr>
            <w:rStyle w:val="Hyperlink"/>
          </w:rPr>
          <w:t>Senate Journal</w:t>
        </w:r>
        <w:r w:rsidRPr="00300806">
          <w:rPr>
            <w:rStyle w:val="Hyperlink"/>
          </w:rPr>
          <w:noBreakHyphen/>
          <w:t>page 15</w:t>
        </w:r>
      </w:hyperlink>
      <w:r w:rsidRPr="00300806">
        <w:t>)</w:t>
      </w:r>
    </w:p>
    <w:p w:rsidR="007A7A02" w:rsidRDefault="007A7A02" w:rsidP="007A7A02">
      <w:pPr>
        <w:widowControl w:val="0"/>
        <w:tabs>
          <w:tab w:val="right" w:pos="1008"/>
          <w:tab w:val="left" w:pos="1152"/>
          <w:tab w:val="left" w:pos="1872"/>
          <w:tab w:val="left" w:pos="9187"/>
        </w:tabs>
        <w:ind w:left="2088" w:hanging="2088"/>
      </w:pPr>
      <w:r>
        <w:tab/>
        <w:t>4/17/2012</w:t>
      </w:r>
      <w:r>
        <w:tab/>
        <w:t>Senate</w:t>
      </w:r>
      <w:r>
        <w:tab/>
      </w:r>
      <w:r w:rsidRPr="00300806">
        <w:t>Read second time (</w:t>
      </w:r>
      <w:hyperlink r:id="rId9" w:history="1">
        <w:r w:rsidRPr="00300806">
          <w:rPr>
            <w:rStyle w:val="Hyperlink"/>
          </w:rPr>
          <w:t>Senate Journal</w:t>
        </w:r>
        <w:r w:rsidRPr="00300806">
          <w:rPr>
            <w:rStyle w:val="Hyperlink"/>
          </w:rPr>
          <w:noBreakHyphen/>
          <w:t>page 32</w:t>
        </w:r>
      </w:hyperlink>
      <w:r w:rsidRPr="00300806">
        <w:t>)</w:t>
      </w:r>
    </w:p>
    <w:p w:rsidR="007A7A02" w:rsidRDefault="007A7A02" w:rsidP="007A7A02">
      <w:pPr>
        <w:widowControl w:val="0"/>
        <w:tabs>
          <w:tab w:val="right" w:pos="1008"/>
          <w:tab w:val="left" w:pos="1152"/>
          <w:tab w:val="left" w:pos="1872"/>
          <w:tab w:val="left" w:pos="9187"/>
        </w:tabs>
        <w:ind w:left="2088" w:hanging="2088"/>
      </w:pPr>
      <w:r>
        <w:tab/>
        <w:t>4/17/2012</w:t>
      </w:r>
      <w:r>
        <w:tab/>
        <w:t>Senate</w:t>
      </w:r>
      <w:r>
        <w:tab/>
      </w:r>
      <w:r w:rsidRPr="00300806">
        <w:t>Roll call Ayes</w:t>
      </w:r>
      <w:r>
        <w:noBreakHyphen/>
      </w:r>
      <w:r w:rsidRPr="00300806">
        <w:t>36  Nays</w:t>
      </w:r>
      <w:r>
        <w:noBreakHyphen/>
      </w:r>
      <w:r w:rsidRPr="00300806">
        <w:t>0 (</w:t>
      </w:r>
      <w:hyperlink r:id="rId10" w:history="1">
        <w:r w:rsidRPr="00300806">
          <w:rPr>
            <w:rStyle w:val="Hyperlink"/>
          </w:rPr>
          <w:t>Senate Journal</w:t>
        </w:r>
        <w:r w:rsidRPr="00300806">
          <w:rPr>
            <w:rStyle w:val="Hyperlink"/>
          </w:rPr>
          <w:noBreakHyphen/>
          <w:t>page 32</w:t>
        </w:r>
      </w:hyperlink>
      <w:r w:rsidRPr="00300806">
        <w:t>)</w:t>
      </w:r>
    </w:p>
    <w:p w:rsidR="007A7A02" w:rsidRDefault="007A7A02" w:rsidP="007A7A02">
      <w:pPr>
        <w:widowControl w:val="0"/>
        <w:tabs>
          <w:tab w:val="right" w:pos="1008"/>
          <w:tab w:val="left" w:pos="1152"/>
          <w:tab w:val="left" w:pos="1872"/>
          <w:tab w:val="left" w:pos="9187"/>
        </w:tabs>
        <w:ind w:left="2088" w:hanging="2088"/>
      </w:pPr>
      <w:r>
        <w:lastRenderedPageBreak/>
        <w:tab/>
        <w:t>4/19/2012</w:t>
      </w:r>
      <w:r>
        <w:tab/>
        <w:t>Senate</w:t>
      </w:r>
      <w:r>
        <w:tab/>
      </w:r>
      <w:r w:rsidRPr="00300806">
        <w:t>Re</w:t>
      </w:r>
      <w:r>
        <w:t xml:space="preserve">ad third time and sent to House </w:t>
      </w:r>
      <w:r w:rsidRPr="00300806">
        <w:t>(</w:t>
      </w:r>
      <w:hyperlink r:id="rId11" w:history="1">
        <w:r w:rsidRPr="00300806">
          <w:rPr>
            <w:rStyle w:val="Hyperlink"/>
          </w:rPr>
          <w:t>Senate Journal</w:t>
        </w:r>
        <w:r w:rsidRPr="00300806">
          <w:rPr>
            <w:rStyle w:val="Hyperlink"/>
          </w:rPr>
          <w:noBreakHyphen/>
          <w:t>page 17</w:t>
        </w:r>
      </w:hyperlink>
      <w:r w:rsidRPr="00300806">
        <w:t>)</w:t>
      </w:r>
    </w:p>
    <w:p w:rsidR="007A7A02" w:rsidRDefault="007A7A02" w:rsidP="007A7A02">
      <w:pPr>
        <w:widowControl w:val="0"/>
        <w:tabs>
          <w:tab w:val="right" w:pos="1008"/>
          <w:tab w:val="left" w:pos="1152"/>
          <w:tab w:val="left" w:pos="1872"/>
          <w:tab w:val="left" w:pos="9187"/>
        </w:tabs>
        <w:ind w:left="2088" w:hanging="2088"/>
      </w:pPr>
      <w:r>
        <w:tab/>
        <w:t>4/24/2012</w:t>
      </w:r>
      <w:r>
        <w:tab/>
        <w:t>House</w:t>
      </w:r>
      <w:r>
        <w:tab/>
      </w:r>
      <w:r w:rsidRPr="00300806">
        <w:t>Introduced and read first time (</w:t>
      </w:r>
      <w:hyperlink r:id="rId12" w:history="1">
        <w:r w:rsidRPr="00300806">
          <w:rPr>
            <w:rStyle w:val="Hyperlink"/>
          </w:rPr>
          <w:t>House Journal</w:t>
        </w:r>
        <w:r w:rsidRPr="00300806">
          <w:rPr>
            <w:rStyle w:val="Hyperlink"/>
          </w:rPr>
          <w:noBreakHyphen/>
          <w:t>page 17</w:t>
        </w:r>
      </w:hyperlink>
      <w:r w:rsidRPr="00300806">
        <w:t>)</w:t>
      </w:r>
    </w:p>
    <w:p w:rsidR="007A7A02" w:rsidRDefault="007A7A02" w:rsidP="007A7A02">
      <w:pPr>
        <w:widowControl w:val="0"/>
        <w:tabs>
          <w:tab w:val="right" w:pos="1008"/>
          <w:tab w:val="left" w:pos="1152"/>
          <w:tab w:val="left" w:pos="1872"/>
          <w:tab w:val="left" w:pos="9187"/>
        </w:tabs>
        <w:ind w:left="2088" w:hanging="2088"/>
      </w:pPr>
      <w:r>
        <w:tab/>
        <w:t>4/24/2012</w:t>
      </w:r>
      <w:r>
        <w:tab/>
        <w:t>House</w:t>
      </w:r>
      <w:r>
        <w:tab/>
      </w:r>
      <w:r w:rsidRPr="00300806">
        <w:t>Ref</w:t>
      </w:r>
      <w:r>
        <w:t xml:space="preserve">erred to Committee on </w:t>
      </w:r>
      <w:r w:rsidRPr="00300806">
        <w:rPr>
          <w:b/>
        </w:rPr>
        <w:t>Judiciary</w:t>
      </w:r>
      <w:r>
        <w:t xml:space="preserve"> </w:t>
      </w:r>
      <w:r w:rsidRPr="00300806">
        <w:t>(</w:t>
      </w:r>
      <w:hyperlink r:id="rId13" w:history="1">
        <w:r w:rsidRPr="00300806">
          <w:rPr>
            <w:rStyle w:val="Hyperlink"/>
          </w:rPr>
          <w:t>House Journal</w:t>
        </w:r>
        <w:r w:rsidRPr="00300806">
          <w:rPr>
            <w:rStyle w:val="Hyperlink"/>
          </w:rPr>
          <w:noBreakHyphen/>
          <w:t>page 17</w:t>
        </w:r>
      </w:hyperlink>
      <w:r w:rsidRPr="00300806">
        <w:t>)</w:t>
      </w:r>
    </w:p>
    <w:p w:rsidR="007A7A02" w:rsidRDefault="007A7A02" w:rsidP="007A7A02">
      <w:pPr>
        <w:widowControl w:val="0"/>
        <w:tabs>
          <w:tab w:val="right" w:pos="1008"/>
          <w:tab w:val="left" w:pos="1152"/>
          <w:tab w:val="left" w:pos="1872"/>
          <w:tab w:val="left" w:pos="9187"/>
        </w:tabs>
        <w:ind w:left="2088" w:hanging="2088"/>
      </w:pPr>
      <w:r>
        <w:tab/>
        <w:t>5/30/2012</w:t>
      </w:r>
      <w:r>
        <w:tab/>
        <w:t>House</w:t>
      </w:r>
      <w:r>
        <w:tab/>
      </w:r>
      <w:r w:rsidRPr="00300806">
        <w:t>Committee r</w:t>
      </w:r>
      <w:r>
        <w:t xml:space="preserve">eport: Favorable with amendment </w:t>
      </w:r>
      <w:r w:rsidRPr="00300806">
        <w:rPr>
          <w:b/>
        </w:rPr>
        <w:t>Judiciary</w:t>
      </w:r>
      <w:r w:rsidRPr="00300806">
        <w:t xml:space="preserve"> (</w:t>
      </w:r>
      <w:hyperlink r:id="rId14" w:history="1">
        <w:r w:rsidRPr="00300806">
          <w:rPr>
            <w:rStyle w:val="Hyperlink"/>
          </w:rPr>
          <w:t>House Journal</w:t>
        </w:r>
        <w:r w:rsidRPr="00300806">
          <w:rPr>
            <w:rStyle w:val="Hyperlink"/>
          </w:rPr>
          <w:noBreakHyphen/>
          <w:t>page 35</w:t>
        </w:r>
      </w:hyperlink>
      <w:r w:rsidRPr="00300806">
        <w:t>)</w:t>
      </w:r>
    </w:p>
    <w:p w:rsidR="007A7A02" w:rsidRDefault="007A7A02" w:rsidP="007A7A02">
      <w:pPr>
        <w:widowControl w:val="0"/>
        <w:tabs>
          <w:tab w:val="right" w:pos="1008"/>
          <w:tab w:val="left" w:pos="1152"/>
          <w:tab w:val="left" w:pos="1872"/>
          <w:tab w:val="left" w:pos="9187"/>
        </w:tabs>
        <w:ind w:left="2088" w:hanging="2088"/>
      </w:pPr>
      <w:r>
        <w:tab/>
        <w:t>6/5/2012</w:t>
      </w:r>
      <w:r>
        <w:tab/>
        <w:t>House</w:t>
      </w:r>
      <w:r>
        <w:tab/>
      </w:r>
      <w:r w:rsidRPr="00300806">
        <w:t>Requests for deba</w:t>
      </w:r>
      <w:r>
        <w:t>te</w:t>
      </w:r>
      <w:r>
        <w:noBreakHyphen/>
        <w:t xml:space="preserve">Rep(s). Bannister, Crawford, </w:t>
      </w:r>
      <w:r w:rsidRPr="00300806">
        <w:t>Ott, Whipper</w:t>
      </w:r>
      <w:r>
        <w:t xml:space="preserve">, Sandifer, Anderson, GR Smith, </w:t>
      </w:r>
      <w:r w:rsidRPr="00300806">
        <w:t>Battle, Hamil</w:t>
      </w:r>
      <w:r>
        <w:t xml:space="preserve">ton, Barfield, Hardwick, Weeks, </w:t>
      </w:r>
      <w:r w:rsidRPr="00300806">
        <w:t>Hixon, Hart, Willis, JR Smith (</w:t>
      </w:r>
      <w:hyperlink r:id="rId15" w:history="1">
        <w:r w:rsidRPr="00300806">
          <w:rPr>
            <w:rStyle w:val="Hyperlink"/>
          </w:rPr>
          <w:t>House Journal</w:t>
        </w:r>
        <w:r w:rsidRPr="00300806">
          <w:rPr>
            <w:rStyle w:val="Hyperlink"/>
          </w:rPr>
          <w:noBreakHyphen/>
          <w:t>page 97</w:t>
        </w:r>
      </w:hyperlink>
      <w:r w:rsidRPr="00300806">
        <w:t>)</w:t>
      </w:r>
    </w:p>
    <w:p w:rsidR="007A7A02" w:rsidRDefault="007A7A02" w:rsidP="007A7A02">
      <w:pPr>
        <w:widowControl w:val="0"/>
        <w:tabs>
          <w:tab w:val="right" w:pos="1008"/>
          <w:tab w:val="left" w:pos="1152"/>
          <w:tab w:val="left" w:pos="1872"/>
          <w:tab w:val="left" w:pos="9187"/>
        </w:tabs>
        <w:ind w:left="2088" w:hanging="2088"/>
      </w:pPr>
      <w:r>
        <w:tab/>
        <w:t>6/6/2012</w:t>
      </w:r>
      <w:r>
        <w:tab/>
        <w:t>House</w:t>
      </w:r>
      <w:r>
        <w:tab/>
      </w:r>
      <w:r w:rsidRPr="00300806">
        <w:t>Amended (</w:t>
      </w:r>
      <w:hyperlink r:id="rId16" w:history="1">
        <w:r w:rsidRPr="00300806">
          <w:rPr>
            <w:rStyle w:val="Hyperlink"/>
          </w:rPr>
          <w:t>House Journal</w:t>
        </w:r>
        <w:r w:rsidRPr="00300806">
          <w:rPr>
            <w:rStyle w:val="Hyperlink"/>
          </w:rPr>
          <w:noBreakHyphen/>
          <w:t>page 72</w:t>
        </w:r>
      </w:hyperlink>
      <w:r w:rsidRPr="00300806">
        <w:t>)</w:t>
      </w:r>
    </w:p>
    <w:p w:rsidR="007A7A02" w:rsidRDefault="007A7A02" w:rsidP="007A7A02">
      <w:pPr>
        <w:widowControl w:val="0"/>
        <w:tabs>
          <w:tab w:val="right" w:pos="1008"/>
          <w:tab w:val="left" w:pos="1152"/>
          <w:tab w:val="left" w:pos="1872"/>
          <w:tab w:val="left" w:pos="9187"/>
        </w:tabs>
        <w:ind w:left="2088" w:hanging="2088"/>
      </w:pPr>
      <w:r>
        <w:tab/>
        <w:t>6/6/2012</w:t>
      </w:r>
      <w:r>
        <w:tab/>
        <w:t>House</w:t>
      </w:r>
      <w:r>
        <w:tab/>
      </w:r>
      <w:r w:rsidRPr="00300806">
        <w:t>Read second time (</w:t>
      </w:r>
      <w:hyperlink r:id="rId17" w:history="1">
        <w:r w:rsidRPr="00300806">
          <w:rPr>
            <w:rStyle w:val="Hyperlink"/>
          </w:rPr>
          <w:t>House Journal</w:t>
        </w:r>
        <w:r w:rsidRPr="00300806">
          <w:rPr>
            <w:rStyle w:val="Hyperlink"/>
          </w:rPr>
          <w:noBreakHyphen/>
          <w:t>page 72</w:t>
        </w:r>
      </w:hyperlink>
      <w:r w:rsidRPr="00300806">
        <w:t>)</w:t>
      </w:r>
    </w:p>
    <w:p w:rsidR="007A7A02" w:rsidRDefault="007A7A02" w:rsidP="007A7A02">
      <w:pPr>
        <w:widowControl w:val="0"/>
        <w:tabs>
          <w:tab w:val="right" w:pos="1008"/>
          <w:tab w:val="left" w:pos="1152"/>
          <w:tab w:val="left" w:pos="1872"/>
          <w:tab w:val="left" w:pos="9187"/>
        </w:tabs>
        <w:ind w:left="2088" w:hanging="2088"/>
      </w:pPr>
      <w:r>
        <w:tab/>
        <w:t>6/6/2012</w:t>
      </w:r>
      <w:r>
        <w:tab/>
        <w:t>House</w:t>
      </w:r>
      <w:r>
        <w:tab/>
      </w:r>
      <w:r w:rsidRPr="00300806">
        <w:t>Roll call Yeas</w:t>
      </w:r>
      <w:r>
        <w:noBreakHyphen/>
      </w:r>
      <w:r w:rsidRPr="00300806">
        <w:t>96  Nays</w:t>
      </w:r>
      <w:r>
        <w:noBreakHyphen/>
      </w:r>
      <w:r w:rsidRPr="00300806">
        <w:t>3 (</w:t>
      </w:r>
      <w:hyperlink r:id="rId18" w:history="1">
        <w:r w:rsidRPr="00300806">
          <w:rPr>
            <w:rStyle w:val="Hyperlink"/>
          </w:rPr>
          <w:t>House Journal</w:t>
        </w:r>
        <w:r w:rsidRPr="00300806">
          <w:rPr>
            <w:rStyle w:val="Hyperlink"/>
          </w:rPr>
          <w:noBreakHyphen/>
          <w:t>page 76</w:t>
        </w:r>
      </w:hyperlink>
      <w:r w:rsidRPr="00300806">
        <w:t>)</w:t>
      </w:r>
    </w:p>
    <w:p w:rsidR="007A7A02" w:rsidRDefault="007A7A02" w:rsidP="007A7A02">
      <w:pPr>
        <w:widowControl w:val="0"/>
        <w:tabs>
          <w:tab w:val="right" w:pos="1008"/>
          <w:tab w:val="left" w:pos="1152"/>
          <w:tab w:val="left" w:pos="1872"/>
          <w:tab w:val="left" w:pos="9187"/>
        </w:tabs>
        <w:ind w:left="2088" w:hanging="2088"/>
      </w:pPr>
      <w:r>
        <w:tab/>
        <w:t>6/7/2012</w:t>
      </w:r>
      <w:r>
        <w:tab/>
        <w:t>House</w:t>
      </w:r>
      <w:r>
        <w:tab/>
      </w:r>
      <w:r w:rsidRPr="00300806">
        <w:t>Read third time and returned to Senate with amendments</w:t>
      </w:r>
    </w:p>
    <w:p w:rsidR="007A7A02" w:rsidRDefault="007A7A02" w:rsidP="007A7A02">
      <w:pPr>
        <w:widowControl w:val="0"/>
        <w:tabs>
          <w:tab w:val="right" w:pos="1008"/>
          <w:tab w:val="left" w:pos="1152"/>
          <w:tab w:val="left" w:pos="1872"/>
          <w:tab w:val="left" w:pos="9187"/>
        </w:tabs>
        <w:ind w:left="2088" w:hanging="2088"/>
      </w:pPr>
      <w:r>
        <w:tab/>
        <w:t>6/7/2012</w:t>
      </w:r>
      <w:r>
        <w:tab/>
        <w:t>Senate</w:t>
      </w:r>
      <w:r>
        <w:tab/>
      </w:r>
      <w:r w:rsidRPr="00300806">
        <w:t>Non</w:t>
      </w:r>
      <w:r>
        <w:noBreakHyphen/>
        <w:t xml:space="preserve">concurrence in House amendment </w:t>
      </w:r>
      <w:r w:rsidRPr="00300806">
        <w:t>(</w:t>
      </w:r>
      <w:hyperlink r:id="rId19" w:history="1">
        <w:r w:rsidRPr="00300806">
          <w:rPr>
            <w:rStyle w:val="Hyperlink"/>
          </w:rPr>
          <w:t>Senate Journal</w:t>
        </w:r>
        <w:r w:rsidRPr="00300806">
          <w:rPr>
            <w:rStyle w:val="Hyperlink"/>
          </w:rPr>
          <w:noBreakHyphen/>
          <w:t>page 126</w:t>
        </w:r>
      </w:hyperlink>
      <w:r w:rsidRPr="00300806">
        <w:t>)</w:t>
      </w:r>
    </w:p>
    <w:p w:rsidR="007A7A02" w:rsidRDefault="007A7A02" w:rsidP="007A7A02">
      <w:pPr>
        <w:widowControl w:val="0"/>
        <w:tabs>
          <w:tab w:val="right" w:pos="1008"/>
          <w:tab w:val="left" w:pos="1152"/>
          <w:tab w:val="left" w:pos="1872"/>
          <w:tab w:val="left" w:pos="9187"/>
        </w:tabs>
        <w:ind w:left="2088" w:hanging="2088"/>
      </w:pPr>
      <w:r>
        <w:tab/>
        <w:t>6/7/2012</w:t>
      </w:r>
      <w:r>
        <w:tab/>
        <w:t>Senate</w:t>
      </w:r>
      <w:r>
        <w:tab/>
      </w:r>
      <w:r w:rsidRPr="00300806">
        <w:t>Roll call Ayes</w:t>
      </w:r>
      <w:r>
        <w:noBreakHyphen/>
      </w:r>
      <w:r w:rsidRPr="00300806">
        <w:t>0  Nays</w:t>
      </w:r>
      <w:r>
        <w:noBreakHyphen/>
      </w:r>
      <w:r w:rsidRPr="00300806">
        <w:t>39 (</w:t>
      </w:r>
      <w:hyperlink r:id="rId20" w:history="1">
        <w:r w:rsidRPr="00300806">
          <w:rPr>
            <w:rStyle w:val="Hyperlink"/>
          </w:rPr>
          <w:t>Senate Journal</w:t>
        </w:r>
        <w:r w:rsidRPr="00300806">
          <w:rPr>
            <w:rStyle w:val="Hyperlink"/>
          </w:rPr>
          <w:noBreakHyphen/>
          <w:t>page 126</w:t>
        </w:r>
      </w:hyperlink>
      <w:r w:rsidRPr="00300806">
        <w:t>)</w:t>
      </w:r>
    </w:p>
    <w:p w:rsidR="007A7A02" w:rsidRDefault="007A7A02" w:rsidP="007A7A02">
      <w:pPr>
        <w:widowControl w:val="0"/>
        <w:tabs>
          <w:tab w:val="right" w:pos="1008"/>
          <w:tab w:val="left" w:pos="1152"/>
          <w:tab w:val="left" w:pos="1872"/>
          <w:tab w:val="left" w:pos="9187"/>
        </w:tabs>
        <w:ind w:left="2088" w:hanging="2088"/>
      </w:pPr>
      <w:r>
        <w:tab/>
        <w:t>6/7/2012</w:t>
      </w:r>
      <w:r>
        <w:tab/>
      </w:r>
      <w:r>
        <w:tab/>
      </w:r>
      <w:r w:rsidRPr="00300806">
        <w:t>Scrivener's error corrected</w:t>
      </w:r>
    </w:p>
    <w:p w:rsidR="007A7A02" w:rsidRDefault="007A7A02" w:rsidP="007A7A02">
      <w:pPr>
        <w:widowControl w:val="0"/>
        <w:tabs>
          <w:tab w:val="right" w:pos="1008"/>
          <w:tab w:val="left" w:pos="1152"/>
          <w:tab w:val="left" w:pos="1872"/>
          <w:tab w:val="left" w:pos="9187"/>
        </w:tabs>
        <w:ind w:left="2088" w:hanging="2088"/>
      </w:pPr>
      <w:r>
        <w:tab/>
        <w:t>6/7/2012</w:t>
      </w:r>
      <w:r>
        <w:tab/>
        <w:t>House</w:t>
      </w:r>
      <w:r>
        <w:tab/>
      </w:r>
      <w:r w:rsidRPr="00300806">
        <w:t>House insist</w:t>
      </w:r>
      <w:r>
        <w:t xml:space="preserve">s upon amendment and conference </w:t>
      </w:r>
      <w:r w:rsidRPr="00300806">
        <w:t>committee appoint</w:t>
      </w:r>
      <w:r>
        <w:t xml:space="preserve">ed Reps. Bannister, Tallon, and </w:t>
      </w:r>
      <w:r w:rsidRPr="00300806">
        <w:t>Rutherford (</w:t>
      </w:r>
      <w:hyperlink r:id="rId21" w:history="1">
        <w:r w:rsidRPr="00300806">
          <w:rPr>
            <w:rStyle w:val="Hyperlink"/>
          </w:rPr>
          <w:t>House Journal</w:t>
        </w:r>
        <w:r w:rsidRPr="00300806">
          <w:rPr>
            <w:rStyle w:val="Hyperlink"/>
          </w:rPr>
          <w:noBreakHyphen/>
          <w:t>page 61</w:t>
        </w:r>
      </w:hyperlink>
      <w:r w:rsidRPr="00300806">
        <w:t>)</w:t>
      </w:r>
    </w:p>
    <w:p w:rsidR="007A7A02" w:rsidRDefault="007A7A02" w:rsidP="007A7A02">
      <w:pPr>
        <w:widowControl w:val="0"/>
        <w:tabs>
          <w:tab w:val="right" w:pos="1008"/>
          <w:tab w:val="left" w:pos="1152"/>
          <w:tab w:val="left" w:pos="1872"/>
          <w:tab w:val="left" w:pos="9187"/>
        </w:tabs>
        <w:ind w:left="2088" w:hanging="2088"/>
      </w:pPr>
      <w:r>
        <w:tab/>
        <w:t>6/7/2012</w:t>
      </w:r>
      <w:r>
        <w:tab/>
        <w:t>Senate</w:t>
      </w:r>
      <w:r>
        <w:tab/>
      </w:r>
      <w:r w:rsidRPr="00300806">
        <w:t>Conference commi</w:t>
      </w:r>
      <w:r>
        <w:t xml:space="preserve">ttee appointed Campsen, Malloy, </w:t>
      </w:r>
      <w:r w:rsidRPr="00300806">
        <w:t>and Rose (</w:t>
      </w:r>
      <w:hyperlink r:id="rId22" w:history="1">
        <w:r w:rsidRPr="00300806">
          <w:rPr>
            <w:rStyle w:val="Hyperlink"/>
          </w:rPr>
          <w:t>Senate Journal</w:t>
        </w:r>
        <w:r w:rsidRPr="00300806">
          <w:rPr>
            <w:rStyle w:val="Hyperlink"/>
          </w:rPr>
          <w:noBreakHyphen/>
          <w:t>page 131</w:t>
        </w:r>
      </w:hyperlink>
      <w:r w:rsidRPr="00300806">
        <w:t>)</w:t>
      </w:r>
    </w:p>
    <w:p w:rsidR="007A7A02" w:rsidRDefault="007A7A02" w:rsidP="007A7A02">
      <w:pPr>
        <w:widowControl w:val="0"/>
        <w:tabs>
          <w:tab w:val="right" w:pos="1008"/>
          <w:tab w:val="left" w:pos="1152"/>
          <w:tab w:val="left" w:pos="1872"/>
          <w:tab w:val="left" w:pos="9187"/>
        </w:tabs>
        <w:ind w:left="2088" w:hanging="2088"/>
      </w:pPr>
    </w:p>
    <w:p w:rsidR="004E023F" w:rsidRPr="004E023F" w:rsidRDefault="004E023F" w:rsidP="004E023F">
      <w:pPr>
        <w:widowControl w:val="0"/>
        <w:tabs>
          <w:tab w:val="right" w:pos="1008"/>
          <w:tab w:val="left" w:pos="1152"/>
          <w:tab w:val="left" w:pos="1872"/>
          <w:tab w:val="left" w:pos="9187"/>
        </w:tabs>
        <w:ind w:left="2088" w:hanging="2088"/>
      </w:pPr>
    </w:p>
    <w:p w:rsidR="004E023F" w:rsidRDefault="004E023F" w:rsidP="004E023F">
      <w:pPr>
        <w:widowControl w:val="0"/>
      </w:pPr>
      <w:r w:rsidRPr="004E023F">
        <w:rPr>
          <w:b/>
        </w:rPr>
        <w:t>VERSIONS OF THIS BILL</w:t>
      </w:r>
    </w:p>
    <w:p w:rsidR="004E023F" w:rsidRDefault="004E023F" w:rsidP="004E023F">
      <w:pPr>
        <w:widowControl w:val="0"/>
      </w:pPr>
    </w:p>
    <w:p w:rsidR="004E023F" w:rsidRDefault="001F63F2" w:rsidP="004E023F">
      <w:pPr>
        <w:widowControl w:val="0"/>
      </w:pPr>
      <w:hyperlink r:id="rId23" w:history="1">
        <w:r w:rsidR="004E023F">
          <w:rPr>
            <w:rStyle w:val="Hyperlink"/>
          </w:rPr>
          <w:t>3/7/2012</w:t>
        </w:r>
      </w:hyperlink>
    </w:p>
    <w:p w:rsidR="00691C9E" w:rsidRDefault="001F63F2" w:rsidP="004E023F">
      <w:hyperlink r:id="rId24" w:history="1">
        <w:r w:rsidR="00691C9E" w:rsidRPr="00691C9E">
          <w:rPr>
            <w:rStyle w:val="Hyperlink"/>
          </w:rPr>
          <w:t>3/21/2012</w:t>
        </w:r>
      </w:hyperlink>
    </w:p>
    <w:p w:rsidR="0085130E" w:rsidRDefault="001F63F2" w:rsidP="004E023F">
      <w:hyperlink r:id="rId25" w:history="1">
        <w:r w:rsidR="0085130E" w:rsidRPr="0085130E">
          <w:rPr>
            <w:rStyle w:val="Hyperlink"/>
          </w:rPr>
          <w:t>5/30/2012</w:t>
        </w:r>
      </w:hyperlink>
    </w:p>
    <w:p w:rsidR="00E50397" w:rsidRDefault="001F63F2" w:rsidP="004E023F">
      <w:hyperlink r:id="rId26" w:history="1">
        <w:r w:rsidR="00E50397" w:rsidRPr="00E50397">
          <w:rPr>
            <w:rStyle w:val="Hyperlink"/>
          </w:rPr>
          <w:t>6/6/2012</w:t>
        </w:r>
      </w:hyperlink>
    </w:p>
    <w:p w:rsidR="0075248A" w:rsidRDefault="001F63F2" w:rsidP="004E023F">
      <w:hyperlink r:id="rId27" w:history="1">
        <w:r w:rsidR="0075248A" w:rsidRPr="0075248A">
          <w:rPr>
            <w:rStyle w:val="Hyperlink"/>
          </w:rPr>
          <w:t>6/7/2012</w:t>
        </w:r>
      </w:hyperlink>
    </w:p>
    <w:p w:rsidR="004E023F" w:rsidRDefault="004E023F" w:rsidP="004E023F"/>
    <w:p w:rsidR="004E023F" w:rsidRDefault="004E023F" w:rsidP="004E023F">
      <w:pPr>
        <w:sectPr w:rsidR="004E023F" w:rsidSect="004E023F">
          <w:pgSz w:w="12240" w:h="15840" w:code="1"/>
          <w:pgMar w:top="1080" w:right="1440" w:bottom="1080" w:left="1440" w:header="720" w:footer="720" w:gutter="0"/>
          <w:cols w:space="720"/>
          <w:noEndnote/>
          <w:docGrid w:linePitch="360"/>
        </w:sectPr>
      </w:pP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5248A" w:rsidRPr="00782CD8"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6, 2012</w:t>
      </w: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Pr="00782CD8" w:rsidRDefault="0075248A" w:rsidP="00782CD8">
      <w:pPr>
        <w:tabs>
          <w:tab w:val="right" w:pos="5933"/>
        </w:tabs>
        <w:suppressAutoHyphens/>
        <w:jc w:val="both"/>
        <w:rPr>
          <w:rFonts w:eastAsia="Times New Roman"/>
        </w:rPr>
      </w:pPr>
      <w:r>
        <w:rPr>
          <w:rFonts w:eastAsia="Times New Roman"/>
        </w:rPr>
        <w:tab/>
      </w:r>
      <w:r>
        <w:rPr>
          <w:rFonts w:eastAsia="Times New Roman"/>
          <w:b/>
          <w:sz w:val="36"/>
        </w:rPr>
        <w:t>S. 1321</w:t>
      </w: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Default="0075248A" w:rsidP="007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McConnell, Knotts, Ford and Campsen</w:t>
      </w: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Default="0075248A" w:rsidP="00F93C85">
      <w:pPr>
        <w:tabs>
          <w:tab w:val="right" w:pos="5933"/>
        </w:tabs>
        <w:suppressAutoHyphens/>
        <w:jc w:val="both"/>
        <w:rPr>
          <w:rFonts w:eastAsia="Times New Roman"/>
        </w:rPr>
      </w:pPr>
      <w:r>
        <w:rPr>
          <w:rFonts w:eastAsia="Times New Roman"/>
        </w:rPr>
        <w:t>S. Printed 6/6/12--H.</w:t>
      </w:r>
      <w:r>
        <w:rPr>
          <w:rFonts w:eastAsia="Times New Roman"/>
        </w:rPr>
        <w:tab/>
        <w:t>[SEC 6/7/12 4:41 PM]</w:t>
      </w: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75248A" w:rsidRPr="00782CD8" w:rsidRDefault="0075248A" w:rsidP="007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248A" w:rsidSect="00C507F1">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75248A" w:rsidRPr="00522CE0"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Pr="00522CE0"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Pr="00522CE0"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Pr="00522CE0"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Pr="00522CE0"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Pr="00522CE0"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Pr="00522CE0"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Pr="00522CE0"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Pr="008F023B" w:rsidRDefault="0075248A" w:rsidP="0041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5248A" w:rsidRPr="00522CE0"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Pr="00DA6046"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10, RELATING TO THE DEFINITION OF A “YOUTHFUL OFFENDER”, SO AS TO PROVIDE THAT IF THE OFFENDER 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w:t>
      </w:r>
      <w:r>
        <w:rPr>
          <w:color w:val="000000" w:themeColor="text1"/>
          <w:u w:color="000000" w:themeColor="text1"/>
        </w:rPr>
        <w:t>’</w:t>
      </w:r>
      <w:r w:rsidRPr="002232DE">
        <w:rPr>
          <w:color w:val="000000" w:themeColor="text1"/>
          <w:u w:color="000000" w:themeColor="text1"/>
        </w:rPr>
        <w:t>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BY AMENDING 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248A" w:rsidRDefault="007524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(A)</w:t>
      </w:r>
      <w:r>
        <w:rPr>
          <w:color w:val="000000" w:themeColor="text1"/>
          <w:u w:color="000000" w:themeColor="text1"/>
        </w:rPr>
        <w:tab/>
      </w:r>
      <w:r w:rsidRPr="001A29EB">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2.</w:t>
      </w: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 xml:space="preserve">500 of the </w:t>
      </w:r>
      <w:r>
        <w:rPr>
          <w:color w:val="000000" w:themeColor="text1"/>
          <w:u w:color="000000" w:themeColor="text1"/>
        </w:rPr>
        <w:t xml:space="preserve">1976 Code is amended to read: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500.</w:t>
      </w:r>
      <w:r w:rsidRPr="001A29EB">
        <w:rPr>
          <w:color w:val="000000" w:themeColor="text1"/>
          <w:u w:color="000000" w:themeColor="text1"/>
        </w:rPr>
        <w:tab/>
        <w:t>(A)</w:t>
      </w:r>
      <w:r w:rsidRPr="001A29EB">
        <w:rPr>
          <w:color w:val="000000" w:themeColor="text1"/>
          <w:u w:val="single" w:color="000000" w:themeColor="text1"/>
        </w:rPr>
        <w:t>(1)</w:t>
      </w:r>
      <w:r w:rsidRPr="001A29EB">
        <w:rPr>
          <w:color w:val="000000" w:themeColor="text1"/>
          <w:u w:color="000000" w:themeColor="text1"/>
        </w:rPr>
        <w:tab/>
        <w:t>It is unlawful for a person who has been convicted of a violent crime,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that is classified as a felony offense, to possess a firearm or ammunition within this State.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(2)</w:t>
      </w:r>
      <w:r w:rsidRPr="001A29EB">
        <w:rPr>
          <w:color w:val="000000" w:themeColor="text1"/>
          <w:u w:color="000000" w:themeColor="text1"/>
        </w:rPr>
        <w:tab/>
        <w:t xml:space="preserve">A person who violates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is guilty of a felony and, upon conviction, must be fined not more than two thousand dollars or imprisoned not more than five years, or both.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(C)</w:t>
      </w:r>
      <w:r w:rsidRPr="001A29EB">
        <w:rPr>
          <w:color w:val="000000" w:themeColor="text1"/>
          <w:u w:val="single" w:color="000000" w:themeColor="text1"/>
        </w:rPr>
        <w:t>(3)</w:t>
      </w:r>
      <w:r w:rsidRPr="001A29EB">
        <w:rPr>
          <w:color w:val="000000" w:themeColor="text1"/>
          <w:u w:color="000000" w:themeColor="text1"/>
        </w:rPr>
        <w:tab/>
        <w:t xml:space="preserve">In addition to the penalty provided in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the firearm or ammunition involved in the violation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(D)</w:t>
      </w:r>
      <w:r w:rsidRPr="001A29EB">
        <w:rPr>
          <w:color w:val="000000" w:themeColor="text1"/>
          <w:u w:val="single" w:color="000000" w:themeColor="text1"/>
        </w:rPr>
        <w:t>(4)</w:t>
      </w:r>
      <w:r w:rsidRPr="001A29EB">
        <w:rPr>
          <w:color w:val="000000" w:themeColor="text1"/>
          <w:u w:color="000000" w:themeColor="text1"/>
        </w:rPr>
        <w:tab/>
        <w:t>The judge that hears the case involving the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60, that is classified as a felony offense, shall make a specific finding on the record that the offense is a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and is classified as a felony offense.  </w:t>
      </w:r>
      <w:r w:rsidRPr="001A29EB">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(B)(1)</w:t>
      </w:r>
      <w:r w:rsidRPr="001A29EB">
        <w:rPr>
          <w:color w:val="000000" w:themeColor="text1"/>
          <w:u w:color="000000" w:themeColor="text1"/>
        </w:rPr>
        <w:tab/>
      </w:r>
      <w:r w:rsidRPr="001A29EB">
        <w:rPr>
          <w:color w:val="000000" w:themeColor="text1"/>
          <w:u w:val="single" w:color="000000" w:themeColor="text1"/>
        </w:rPr>
        <w:t xml:space="preserve">It is a violation of probation, parole, community supervision, or any other supervision program operated by the Department of Probation, Parole and Pardon Services for an offender to purchase or possess a firearm, ammunition, or any other dangerous weapon.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If an offender is arrested for purchasing or possessing a firearm, ammunition, or other dangerous weapon, the firearm, ammunition, or other dangerous weapon involved in the violation of this subsection must be confiscated by the Department of Probation, Parole and Pardon Services.  The Department of Probation, Parole and Pardon Services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ammunition, or other dangerous weapon must not be disposed of in any manner until the results of any legal proceeding in which it may be involved are finally determined.  If the Department of Probation, Parole and Pardon Services transfers the firearm, ammunition, or other dangerous weapon to the State Law Enforcement Division, the division may keep the firearm, ammunition, or other dangerous weapon for use by its forensic laboratory.  Records must be kept of all confiscated firearms, ammunition, or other dangerous weapons received by the Department of Probation, Parole and Pardon Services under the provisions of this subsection.</w:t>
      </w:r>
      <w:r w:rsidRPr="001A29EB">
        <w:rPr>
          <w:color w:val="000000" w:themeColor="text1"/>
          <w:u w:color="000000" w:themeColor="text1"/>
        </w:rPr>
        <w:t>”</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804FF0"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29EB">
        <w:rPr>
          <w:color w:val="000000" w:themeColor="text1"/>
          <w:u w:color="000000" w:themeColor="text1"/>
        </w:rPr>
        <w:tab/>
      </w:r>
      <w:r w:rsidRPr="00804FF0">
        <w:rPr>
          <w:u w:color="000000" w:themeColor="text1"/>
        </w:rPr>
        <w:t>“(d)</w:t>
      </w:r>
      <w:r w:rsidRPr="00804FF0">
        <w:rPr>
          <w:u w:color="000000" w:themeColor="text1"/>
        </w:rPr>
        <w:tab/>
        <w:t xml:space="preserve">‘Youthful offender’ means an offender who is: </w:t>
      </w:r>
    </w:p>
    <w:p w:rsidR="0075248A" w:rsidRPr="00804FF0"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w:t>
      </w:r>
      <w:r w:rsidRPr="00804FF0">
        <w:rPr>
          <w:u w:color="000000" w:themeColor="text1"/>
        </w:rPr>
        <w:tab/>
      </w:r>
      <w:r w:rsidRPr="00804FF0">
        <w:rPr>
          <w:u w:color="000000" w:themeColor="text1"/>
        </w:rPr>
        <w:tab/>
        <w:t>under seventeen years of age and has been bound over for proper criminal proceedings to the court of general sessions pursuant to Section 63</w:t>
      </w:r>
      <w:r w:rsidRPr="00804FF0">
        <w:rPr>
          <w:u w:color="000000" w:themeColor="text1"/>
        </w:rPr>
        <w:noBreakHyphen/>
        <w:t>19</w:t>
      </w:r>
      <w:r w:rsidRPr="00804FF0">
        <w:rPr>
          <w:u w:color="000000" w:themeColor="text1"/>
        </w:rPr>
        <w:noBreakHyphen/>
        <w:t>1210 for allegedly committing an offense that is not a violent crime, as defined in Section 16</w:t>
      </w:r>
      <w:r w:rsidRPr="00804FF0">
        <w:rPr>
          <w:u w:color="000000" w:themeColor="text1"/>
        </w:rPr>
        <w:noBreakHyphen/>
        <w:t>1</w:t>
      </w:r>
      <w:r w:rsidRPr="00804FF0">
        <w:rPr>
          <w:u w:color="000000" w:themeColor="text1"/>
        </w:rPr>
        <w:noBreakHyphen/>
        <w:t>60, and that is a misdemeanor, a Class D, Class E, or Class F felony, as defined in Section 16</w:t>
      </w:r>
      <w:r w:rsidRPr="00804FF0">
        <w:rPr>
          <w:u w:color="000000" w:themeColor="text1"/>
        </w:rPr>
        <w:noBreakHyphen/>
        <w:t>1</w:t>
      </w:r>
      <w:r w:rsidRPr="00804FF0">
        <w:rPr>
          <w:u w:color="000000" w:themeColor="text1"/>
        </w:rPr>
        <w:noBreakHyphen/>
        <w:t xml:space="preserve">20, or a felony which provides for a maximum term of imprisonment of fifteen years or less; </w:t>
      </w:r>
    </w:p>
    <w:p w:rsidR="0075248A" w:rsidRPr="00804FF0"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(ii)</w:t>
      </w:r>
      <w:r w:rsidRPr="00804FF0">
        <w:rPr>
          <w:u w:color="000000" w:themeColor="text1"/>
        </w:rPr>
        <w:tab/>
        <w:t>seventeen but less than twenty</w:t>
      </w:r>
      <w:r w:rsidRPr="00804FF0">
        <w:rPr>
          <w:u w:color="000000" w:themeColor="text1"/>
        </w:rPr>
        <w:noBreakHyphen/>
        <w:t>five years of age at the time of conviction for an offense that is not a violent crime, as defined in Section 16</w:t>
      </w:r>
      <w:r w:rsidRPr="00804FF0">
        <w:rPr>
          <w:u w:color="000000" w:themeColor="text1"/>
        </w:rPr>
        <w:noBreakHyphen/>
        <w:t>1</w:t>
      </w:r>
      <w:r w:rsidRPr="00804FF0">
        <w:rPr>
          <w:u w:color="000000" w:themeColor="text1"/>
        </w:rPr>
        <w:noBreakHyphen/>
        <w:t xml:space="preserve">60, and that is a misdemeanor, a Class D, Class E, or Class F felony, or a felony which provides for a maximum term of imprisonment of fifteen years or less; </w:t>
      </w:r>
    </w:p>
    <w:p w:rsidR="0075248A" w:rsidRPr="00804FF0"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(iii)</w:t>
      </w:r>
      <w:r w:rsidRPr="00804FF0">
        <w:rPr>
          <w:u w:color="000000" w:themeColor="text1"/>
        </w:rPr>
        <w:tab/>
        <w:t>under seventeen years of age and has been bound over for proper criminal proceedings to the court of general sessions pursuant to Section 63</w:t>
      </w:r>
      <w:r w:rsidRPr="00804FF0">
        <w:rPr>
          <w:u w:color="000000" w:themeColor="text1"/>
        </w:rPr>
        <w:noBreakHyphen/>
        <w:t>19</w:t>
      </w:r>
      <w:r w:rsidRPr="00804FF0">
        <w:rPr>
          <w:u w:color="000000" w:themeColor="text1"/>
        </w:rPr>
        <w:noBreakHyphen/>
        <w:t>1210 for allegedly committing burglary in the second degree (Section 16</w:t>
      </w:r>
      <w:r w:rsidRPr="00804FF0">
        <w:rPr>
          <w:u w:color="000000" w:themeColor="text1"/>
        </w:rPr>
        <w:noBreakHyphen/>
        <w:t>11</w:t>
      </w:r>
      <w:r w:rsidRPr="00804FF0">
        <w:rPr>
          <w:u w:color="000000" w:themeColor="text1"/>
        </w:rPr>
        <w:noBreakHyphen/>
        <w:t xml:space="preserve">312).  </w:t>
      </w:r>
      <w:r w:rsidRPr="00804FF0">
        <w:rPr>
          <w:strike/>
          <w:u w:color="000000" w:themeColor="text1"/>
        </w:rPr>
        <w:t>The</w:t>
      </w:r>
      <w:r w:rsidRPr="00804FF0">
        <w:rPr>
          <w:u w:color="000000" w:themeColor="text1"/>
        </w:rPr>
        <w:t xml:space="preserve"> </w:t>
      </w:r>
      <w:r w:rsidRPr="00804FF0">
        <w:rPr>
          <w:u w:val="single" w:color="000000" w:themeColor="text1"/>
        </w:rPr>
        <w:t>If the offender is sentenced pursuant to the provisions of this chapter and if the offender committed burglary in the second degree pursuant to Section 16</w:t>
      </w:r>
      <w:r w:rsidRPr="00804FF0">
        <w:rPr>
          <w:u w:val="single" w:color="000000" w:themeColor="text1"/>
        </w:rPr>
        <w:noBreakHyphen/>
        <w:t>11</w:t>
      </w:r>
      <w:r w:rsidRPr="00804FF0">
        <w:rPr>
          <w:u w:val="single" w:color="000000" w:themeColor="text1"/>
        </w:rPr>
        <w:noBreakHyphen/>
        <w:t>312(B), the</w:t>
      </w:r>
      <w:r w:rsidRPr="00804FF0">
        <w:rPr>
          <w:u w:color="000000" w:themeColor="text1"/>
        </w:rPr>
        <w:t xml:space="preserve"> offender must receive </w:t>
      </w:r>
      <w:r w:rsidRPr="00804FF0">
        <w:rPr>
          <w:strike/>
          <w:u w:color="000000" w:themeColor="text1"/>
        </w:rPr>
        <w:t>and serve a minimum</w:t>
      </w:r>
      <w:r w:rsidRPr="00804FF0">
        <w:rPr>
          <w:u w:color="000000" w:themeColor="text1"/>
        </w:rPr>
        <w:t xml:space="preserve"> </w:t>
      </w:r>
      <w:r w:rsidRPr="00804FF0">
        <w:rPr>
          <w:u w:val="single" w:color="000000" w:themeColor="text1"/>
        </w:rPr>
        <w:t>a</w:t>
      </w:r>
      <w:r w:rsidRPr="00804FF0">
        <w:rPr>
          <w:u w:color="000000" w:themeColor="text1"/>
        </w:rPr>
        <w:t xml:space="preserve"> sentence </w:t>
      </w:r>
      <w:r w:rsidRPr="00804FF0">
        <w:rPr>
          <w:strike/>
          <w:u w:color="000000" w:themeColor="text1"/>
        </w:rPr>
        <w:t>of at least three years</w:t>
      </w:r>
      <w:r w:rsidRPr="00804FF0">
        <w:rPr>
          <w:u w:color="000000" w:themeColor="text1"/>
        </w:rPr>
        <w:t xml:space="preserve"> </w:t>
      </w:r>
      <w:r w:rsidRPr="00804FF0">
        <w:rPr>
          <w:u w:val="single" w:color="000000" w:themeColor="text1"/>
        </w:rPr>
        <w:t>as provided in Section 24-19-50(3)</w:t>
      </w:r>
      <w:r w:rsidRPr="00804FF0">
        <w:rPr>
          <w:u w:color="000000" w:themeColor="text1"/>
        </w:rPr>
        <w:t xml:space="preserve">, no part of which may be suspended, and the person is not eligible for conditional release until the person has </w:t>
      </w:r>
      <w:r w:rsidRPr="00804FF0">
        <w:rPr>
          <w:strike/>
          <w:u w:color="000000" w:themeColor="text1"/>
        </w:rPr>
        <w:t>served the three</w:t>
      </w:r>
      <w:r w:rsidRPr="00804FF0">
        <w:rPr>
          <w:strike/>
          <w:u w:color="000000" w:themeColor="text1"/>
        </w:rPr>
        <w:noBreakHyphen/>
        <w:t>year minimum sentence</w:t>
      </w:r>
      <w:r w:rsidRPr="00804FF0">
        <w:rPr>
          <w:u w:color="000000" w:themeColor="text1"/>
        </w:rPr>
        <w:t xml:space="preserve"> </w:t>
      </w:r>
      <w:r w:rsidRPr="00804FF0">
        <w:rPr>
          <w:u w:val="single" w:color="000000" w:themeColor="text1"/>
        </w:rPr>
        <w:t>met the conditions as provided by the</w:t>
      </w:r>
      <w:r>
        <w:rPr>
          <w:u w:val="single" w:color="000000" w:themeColor="text1"/>
        </w:rPr>
        <w:t xml:space="preserve"> </w:t>
      </w:r>
      <w:r w:rsidRPr="00804FF0">
        <w:rPr>
          <w:u w:val="single" w:color="000000" w:themeColor="text1"/>
        </w:rPr>
        <w:t>court</w:t>
      </w:r>
      <w:r w:rsidRPr="00804FF0">
        <w:rPr>
          <w:u w:color="000000" w:themeColor="text1"/>
        </w:rPr>
        <w:t xml:space="preserve">; </w:t>
      </w:r>
    </w:p>
    <w:p w:rsidR="0075248A" w:rsidRPr="00804FF0"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(iv)</w:t>
      </w:r>
      <w:r w:rsidRPr="00804FF0">
        <w:rPr>
          <w:u w:color="000000" w:themeColor="text1"/>
        </w:rPr>
        <w:tab/>
        <w:t>seventeen but less than twenty</w:t>
      </w:r>
      <w:r w:rsidRPr="00804FF0">
        <w:rPr>
          <w:u w:color="000000" w:themeColor="text1"/>
        </w:rPr>
        <w:noBreakHyphen/>
        <w:t>one years of age at the time of conviction for burglary in the second degree (Section 16</w:t>
      </w:r>
      <w:r w:rsidRPr="00804FF0">
        <w:rPr>
          <w:u w:color="000000" w:themeColor="text1"/>
        </w:rPr>
        <w:noBreakHyphen/>
        <w:t>11</w:t>
      </w:r>
      <w:r w:rsidRPr="00804FF0">
        <w:rPr>
          <w:u w:color="000000" w:themeColor="text1"/>
        </w:rPr>
        <w:noBreakHyphen/>
        <w:t xml:space="preserve">312).  </w:t>
      </w:r>
      <w:r w:rsidRPr="00804FF0">
        <w:rPr>
          <w:strike/>
          <w:u w:color="000000" w:themeColor="text1"/>
        </w:rPr>
        <w:t>The</w:t>
      </w:r>
      <w:r w:rsidRPr="00804FF0">
        <w:rPr>
          <w:u w:color="000000" w:themeColor="text1"/>
        </w:rPr>
        <w:t xml:space="preserve"> </w:t>
      </w:r>
      <w:r w:rsidRPr="00804FF0">
        <w:rPr>
          <w:u w:val="single" w:color="000000" w:themeColor="text1"/>
        </w:rPr>
        <w:t>If the offender is sentenced pursuant to the provisions of this chapter and if the offender committed burglary in the second degree pursuant to Section 16</w:t>
      </w:r>
      <w:r w:rsidRPr="00804FF0">
        <w:rPr>
          <w:u w:val="single" w:color="000000" w:themeColor="text1"/>
        </w:rPr>
        <w:noBreakHyphen/>
        <w:t>11</w:t>
      </w:r>
      <w:r w:rsidRPr="00804FF0">
        <w:rPr>
          <w:u w:val="single" w:color="000000" w:themeColor="text1"/>
        </w:rPr>
        <w:noBreakHyphen/>
        <w:t>312(B), the</w:t>
      </w:r>
      <w:r w:rsidRPr="00804FF0">
        <w:rPr>
          <w:u w:color="000000" w:themeColor="text1"/>
        </w:rPr>
        <w:t xml:space="preserve"> offender must receive </w:t>
      </w:r>
      <w:r w:rsidRPr="00804FF0">
        <w:rPr>
          <w:strike/>
          <w:u w:color="000000" w:themeColor="text1"/>
        </w:rPr>
        <w:t>and serve a minimum</w:t>
      </w:r>
      <w:r w:rsidRPr="00804FF0">
        <w:rPr>
          <w:u w:color="000000" w:themeColor="text1"/>
        </w:rPr>
        <w:t xml:space="preserve"> </w:t>
      </w:r>
      <w:r w:rsidRPr="00804FF0">
        <w:rPr>
          <w:u w:val="single" w:color="000000" w:themeColor="text1"/>
        </w:rPr>
        <w:t>a</w:t>
      </w:r>
      <w:r w:rsidRPr="00804FF0">
        <w:rPr>
          <w:u w:color="000000" w:themeColor="text1"/>
        </w:rPr>
        <w:t xml:space="preserve"> sentence </w:t>
      </w:r>
      <w:r w:rsidRPr="00804FF0">
        <w:rPr>
          <w:strike/>
          <w:u w:color="000000" w:themeColor="text1"/>
        </w:rPr>
        <w:t>of at least three years</w:t>
      </w:r>
      <w:r w:rsidRPr="00804FF0">
        <w:rPr>
          <w:u w:color="000000" w:themeColor="text1"/>
        </w:rPr>
        <w:t xml:space="preserve"> </w:t>
      </w:r>
      <w:r w:rsidRPr="00804FF0">
        <w:rPr>
          <w:u w:val="single" w:color="000000" w:themeColor="text1"/>
        </w:rPr>
        <w:t>as provided in Section 24-19-50(3)</w:t>
      </w:r>
      <w:r w:rsidRPr="00804FF0">
        <w:rPr>
          <w:u w:color="000000" w:themeColor="text1"/>
        </w:rPr>
        <w:t xml:space="preserve">, no part of which may be suspended, and the person is not eligible for conditional release until the person has </w:t>
      </w:r>
      <w:r w:rsidRPr="00804FF0">
        <w:rPr>
          <w:strike/>
          <w:u w:color="000000" w:themeColor="text1"/>
        </w:rPr>
        <w:t>served the three</w:t>
      </w:r>
      <w:r w:rsidRPr="00804FF0">
        <w:rPr>
          <w:strike/>
          <w:u w:color="000000" w:themeColor="text1"/>
        </w:rPr>
        <w:noBreakHyphen/>
        <w:t>year minimum sentence</w:t>
      </w:r>
      <w:r w:rsidRPr="00804FF0">
        <w:rPr>
          <w:u w:color="000000" w:themeColor="text1"/>
        </w:rPr>
        <w:t xml:space="preserve"> </w:t>
      </w:r>
      <w:r w:rsidRPr="00804FF0">
        <w:rPr>
          <w:u w:val="single" w:color="000000" w:themeColor="text1"/>
        </w:rPr>
        <w:t>met the conditions as provided by the court</w:t>
      </w:r>
      <w:r w:rsidRPr="00804FF0">
        <w:rPr>
          <w:u w:color="000000" w:themeColor="text1"/>
        </w:rPr>
        <w:t xml:space="preserve">; </w:t>
      </w:r>
    </w:p>
    <w:p w:rsidR="0075248A" w:rsidRPr="00804FF0"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(v)</w:t>
      </w:r>
      <w:r w:rsidRPr="00804FF0">
        <w:rPr>
          <w:u w:color="000000" w:themeColor="text1"/>
        </w:rPr>
        <w:tab/>
        <w:t>under seventeen years of age and has been bound over for proper criminal proceedings to the court of general sessions pursuant to Section 63</w:t>
      </w:r>
      <w:r w:rsidRPr="00804FF0">
        <w:rPr>
          <w:u w:color="000000" w:themeColor="text1"/>
        </w:rPr>
        <w:noBreakHyphen/>
        <w:t>19</w:t>
      </w:r>
      <w:r w:rsidRPr="00804FF0">
        <w:rPr>
          <w:u w:color="000000" w:themeColor="text1"/>
        </w:rPr>
        <w:noBreakHyphen/>
        <w:t>1210 for allegedly committing a lewd act upon a child pursuant to Section 16</w:t>
      </w:r>
      <w:r w:rsidRPr="00804FF0">
        <w:rPr>
          <w:u w:color="000000" w:themeColor="text1"/>
        </w:rPr>
        <w:noBreakHyphen/>
        <w:t>15</w:t>
      </w:r>
      <w:r w:rsidRPr="00804FF0">
        <w:rPr>
          <w:u w:color="000000" w:themeColor="text1"/>
        </w:rPr>
        <w:noBreakHyphen/>
        <w:t xml:space="preserve">140, and the alleged offense involved consensual sexual conduct with a person who was at least fourteen years of age at the time of the act; or </w:t>
      </w:r>
    </w:p>
    <w:p w:rsidR="0075248A" w:rsidRPr="001A29EB"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4FF0">
        <w:rPr>
          <w:u w:color="000000" w:themeColor="text1"/>
        </w:rPr>
        <w:tab/>
      </w:r>
      <w:r w:rsidRPr="00804FF0">
        <w:rPr>
          <w:u w:color="000000" w:themeColor="text1"/>
        </w:rPr>
        <w:tab/>
        <w:t>(vi)</w:t>
      </w:r>
      <w:r w:rsidRPr="00804FF0">
        <w:rPr>
          <w:u w:color="000000" w:themeColor="text1"/>
        </w:rPr>
        <w:tab/>
        <w:t>seventeen but less than twenty</w:t>
      </w:r>
      <w:r w:rsidRPr="00804FF0">
        <w:rPr>
          <w:u w:color="000000" w:themeColor="text1"/>
        </w:rPr>
        <w:noBreakHyphen/>
        <w:t>five years of age at the time of conviction for committing a lewd act upon a child pursuant to Section 16</w:t>
      </w:r>
      <w:r w:rsidRPr="00804FF0">
        <w:rPr>
          <w:u w:color="000000" w:themeColor="text1"/>
        </w:rPr>
        <w:noBreakHyphen/>
        <w:t>15</w:t>
      </w:r>
      <w:r w:rsidRPr="00804FF0">
        <w:rPr>
          <w:u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w:t>
      </w:r>
      <w:r w:rsidRPr="001A29EB">
        <w:rPr>
          <w:color w:val="000000" w:themeColor="text1"/>
          <w:u w:color="000000" w:themeColor="text1"/>
        </w:rPr>
        <w:tab/>
      </w:r>
      <w:r>
        <w:rPr>
          <w:color w:val="000000" w:themeColor="text1"/>
          <w:u w:color="000000" w:themeColor="text1"/>
        </w:rPr>
        <w:t xml:space="preserve"> </w:t>
      </w:r>
      <w:r w:rsidRPr="001A29EB">
        <w:rPr>
          <w:color w:val="000000" w:themeColor="text1"/>
          <w:u w:color="000000" w:themeColor="text1"/>
        </w:rPr>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r>
      <w:r>
        <w:rPr>
          <w:color w:val="000000" w:themeColor="text1"/>
          <w:u w:color="000000" w:themeColor="text1"/>
        </w:rPr>
        <w:t xml:space="preserve"> </w:t>
      </w:r>
      <w:r w:rsidRPr="001A29EB">
        <w:rPr>
          <w:color w:val="000000" w:themeColor="text1"/>
          <w:u w:color="000000" w:themeColor="text1"/>
        </w:rPr>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with a term of supervision of more than one year, and shall calculate and award compliance credits as provided in this section.  Credits may be 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w:t>
      </w:r>
      <w:r w:rsidRPr="001A29EB">
        <w:rPr>
          <w:color w:val="000000" w:themeColor="text1"/>
          <w:u w:color="000000" w:themeColor="text1"/>
        </w:rPr>
        <w:tab/>
        <w:t>(A)</w:t>
      </w:r>
      <w:r w:rsidRPr="001A29EB">
        <w:rPr>
          <w:color w:val="000000" w:themeColor="text1"/>
          <w:u w:color="000000" w:themeColor="text1"/>
        </w:rPr>
        <w:tab/>
        <w:t xml:space="preserve">An offense is considered a second or subsequent offense if: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1A29EB">
        <w:rPr>
          <w:color w:val="000000" w:themeColor="text1"/>
          <w:u w:color="000000" w:themeColor="text1"/>
        </w:rPr>
        <w:t>”</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Qualifying suspensions do not include 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5248A"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211DCE"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1DCE">
        <w:t>SECTION</w:t>
      </w:r>
      <w:r w:rsidRPr="00211DCE">
        <w:tab/>
      </w:r>
      <w:r>
        <w:t>15</w:t>
      </w:r>
      <w:r w:rsidRPr="00211DCE">
        <w:t>.</w:t>
      </w:r>
      <w:r w:rsidRPr="00211DCE">
        <w:tab/>
        <w:t>Section 16</w:t>
      </w:r>
      <w:r w:rsidRPr="00211DCE">
        <w:noBreakHyphen/>
        <w:t>23</w:t>
      </w:r>
      <w:r w:rsidRPr="00211DCE">
        <w:noBreakHyphen/>
        <w:t>20(9)(a) of the 1976 Code, as last amended by Act 28 of 2007, is further amended to read:</w:t>
      </w:r>
    </w:p>
    <w:p w:rsidR="0075248A"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48A" w:rsidRPr="00211DCE"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1DCE">
        <w:tab/>
        <w:t>“(a)</w:t>
      </w:r>
      <w:r w:rsidRPr="00211DCE">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211DCE">
        <w:rPr>
          <w:u w:val="single"/>
        </w:rPr>
        <w:t>.  If the person has been issued a concealed weapons permit pursuant to Article 4, Chapter 31, Title 23, then the person also may secure his weapon under a seat in a vehicle, or in any open or closed storage compartment within the vehicle’s passenger compartment</w:t>
      </w:r>
      <w:r w:rsidRPr="00211DCE">
        <w:t xml:space="preserve">; or ” </w:t>
      </w:r>
    </w:p>
    <w:p w:rsidR="0075248A"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48A" w:rsidRPr="00211DCE"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1DCE">
        <w:t>SECTION</w:t>
      </w:r>
      <w:r w:rsidRPr="00211DCE">
        <w:tab/>
      </w:r>
      <w:r>
        <w:t>16</w:t>
      </w:r>
      <w:r w:rsidRPr="00211DCE">
        <w:t>.</w:t>
      </w:r>
      <w:r w:rsidRPr="00211DCE">
        <w:tab/>
        <w:t>Section 16</w:t>
      </w:r>
      <w:r w:rsidRPr="00211DCE">
        <w:noBreakHyphen/>
        <w:t>23</w:t>
      </w:r>
      <w:r w:rsidRPr="00211DCE">
        <w:noBreakHyphen/>
        <w:t>10(10) of the 1976 Code, as added by Act 294 of 2004, is amended to read:</w:t>
      </w:r>
    </w:p>
    <w:p w:rsidR="0075248A"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48A" w:rsidRDefault="0075248A"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1DCE">
        <w:tab/>
        <w:t>“(10)</w:t>
      </w:r>
      <w:r w:rsidRPr="00211DCE">
        <w:tab/>
        <w:t xml:space="preserve">‘Luggage compartment’ means the trunk of a motor vehicle which has a trunk; however, with respect to a motor 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211DCE">
        <w:rPr>
          <w:u w:val="single"/>
        </w:rPr>
        <w:t>truck,</w:t>
      </w:r>
      <w:r w:rsidRPr="00211DCE">
        <w:t xml:space="preserve"> or sport utility vehicle, the term ‘luggage compartment’ refers to the area behind</w:t>
      </w:r>
      <w:r w:rsidRPr="00211DCE">
        <w:rPr>
          <w:strike/>
        </w:rPr>
        <w:t>, but not under,</w:t>
      </w:r>
      <w:r w:rsidRPr="00211DCE">
        <w:t xml:space="preserve"> the rearmost seat.  </w:t>
      </w:r>
      <w:r w:rsidRPr="00211DCE">
        <w:rPr>
          <w:strike/>
        </w:rPr>
        <w:t>In a truck, the term ‘luggage compartment’ refers to the area behind the rearmost seat, but not under the front seat.</w:t>
      </w:r>
      <w:r w:rsidRPr="00211DCE">
        <w:t>”</w:t>
      </w:r>
    </w:p>
    <w:p w:rsidR="0075248A" w:rsidRPr="001A29EB" w:rsidRDefault="0075248A"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48A" w:rsidRPr="00D6248E" w:rsidRDefault="0075248A" w:rsidP="00D6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Pr>
          <w:color w:val="000000" w:themeColor="text1"/>
          <w:u w:color="000000" w:themeColor="text1"/>
        </w:rPr>
        <w:t>7</w:t>
      </w:r>
      <w:r w:rsidRPr="001A29EB">
        <w:rPr>
          <w:color w:val="000000" w:themeColor="text1"/>
          <w:u w:color="000000" w:themeColor="text1"/>
        </w:rPr>
        <w:t>.</w:t>
      </w:r>
      <w:r w:rsidRPr="001A29EB">
        <w:rPr>
          <w:color w:val="000000" w:themeColor="text1"/>
          <w:u w:color="000000" w:themeColor="text1"/>
        </w:rPr>
        <w:tab/>
        <w:t>This act takes effect upon approval by the Governor.</w:t>
      </w:r>
    </w:p>
    <w:p w:rsidR="0075248A" w:rsidRDefault="007524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509E" w:rsidRDefault="0041509E" w:rsidP="0075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1509E" w:rsidSect="00C507F1">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1EC" w:rsidRDefault="00A571EC" w:rsidP="00522CE0">
      <w:r>
        <w:separator/>
      </w:r>
    </w:p>
  </w:endnote>
  <w:endnote w:type="continuationSeparator" w:id="0">
    <w:p w:rsidR="00A571EC" w:rsidRDefault="00A571E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A6727B-5667-48F2-BB30-9ED9C773B49B}"/>
    <w:embedBold r:id="rId2" w:fontKey="{83F2D70E-12F5-45DB-820B-9762ABEB675F}"/>
  </w:font>
  <w:font w:name="Calibri">
    <w:panose1 w:val="020F0502020204030204"/>
    <w:charset w:val="00"/>
    <w:family w:val="swiss"/>
    <w:pitch w:val="variable"/>
    <w:sig w:usb0="E10002FF" w:usb1="4000ACFF" w:usb2="00000009" w:usb3="00000000" w:csb0="0000019F" w:csb1="00000000"/>
    <w:embedRegular r:id="rId3" w:fontKey="{5E874791-6BFF-4EB8-96B0-93519AA66BB8}"/>
    <w:embedBold r:id="rId4" w:fontKey="{3EB37955-6096-4ED4-812F-D82EF427DEBB}"/>
  </w:font>
  <w:font w:name="Cambria">
    <w:panose1 w:val="02040503050406030204"/>
    <w:charset w:val="00"/>
    <w:family w:val="roman"/>
    <w:pitch w:val="variable"/>
    <w:sig w:usb0="E00002FF" w:usb1="400004FF" w:usb2="00000000" w:usb3="00000000" w:csb0="0000019F" w:csb1="00000000"/>
    <w:embedRegular r:id="rId5" w:fontKey="{9A6AEC02-91BA-439B-B8C5-80ED2E4AEF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48A" w:rsidRPr="0041509E" w:rsidRDefault="0075248A" w:rsidP="0041509E">
    <w:pPr>
      <w:pStyle w:val="Footer"/>
      <w:tabs>
        <w:tab w:val="clear" w:pos="4680"/>
        <w:tab w:val="clear" w:pos="9360"/>
        <w:tab w:val="center" w:pos="2995"/>
      </w:tabs>
      <w:spacing w:before="120"/>
    </w:pPr>
    <w:r>
      <w:t>[1321-</w:t>
    </w:r>
    <w:r w:rsidR="001F63F2">
      <w:fldChar w:fldCharType="begin"/>
    </w:r>
    <w:r w:rsidR="001F63F2">
      <w:instrText xml:space="preserve"> PAGE  \* MERGEFORMAT </w:instrText>
    </w:r>
    <w:r w:rsidR="001F63F2">
      <w:fldChar w:fldCharType="separate"/>
    </w:r>
    <w:r w:rsidR="004D3F32">
      <w:rPr>
        <w:noProof/>
      </w:rPr>
      <w:t>1</w:t>
    </w:r>
    <w:r w:rsidR="001F63F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7F1" w:rsidRPr="0041509E" w:rsidRDefault="0075248A" w:rsidP="0041509E">
    <w:pPr>
      <w:pStyle w:val="Footer"/>
      <w:tabs>
        <w:tab w:val="clear" w:pos="4680"/>
        <w:tab w:val="clear" w:pos="9360"/>
        <w:tab w:val="center" w:pos="2995"/>
      </w:tabs>
      <w:spacing w:before="120"/>
    </w:pPr>
    <w:r>
      <w:t>[1321]</w:t>
    </w:r>
    <w:r>
      <w:tab/>
    </w:r>
    <w:r w:rsidR="0098028F">
      <w:fldChar w:fldCharType="begin"/>
    </w:r>
    <w:r>
      <w:instrText xml:space="preserve"> PAGE  \* MERGEFORMAT </w:instrText>
    </w:r>
    <w:r w:rsidR="0098028F">
      <w:fldChar w:fldCharType="separate"/>
    </w:r>
    <w:r>
      <w:rPr>
        <w:noProof/>
      </w:rPr>
      <w:t>17</w:t>
    </w:r>
    <w:r w:rsidR="0098028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1EC" w:rsidRDefault="00A571EC" w:rsidP="00522CE0">
      <w:r>
        <w:separator/>
      </w:r>
    </w:p>
  </w:footnote>
  <w:footnote w:type="continuationSeparator" w:id="0">
    <w:p w:rsidR="00A571EC" w:rsidRDefault="00A571E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07873"/>
  </w:hdrShapeDefaults>
  <w:footnotePr>
    <w:footnote w:id="-1"/>
    <w:footnote w:id="0"/>
  </w:footnotePr>
  <w:endnotePr>
    <w:endnote w:id="-1"/>
    <w:endnote w:id="0"/>
  </w:endnotePr>
  <w:compat>
    <w:compatSetting w:name="compatibilityMode" w:uri="http://schemas.microsoft.com/office/word" w:val="12"/>
  </w:compat>
  <w:docVars>
    <w:docVar w:name="clipname" w:val="JUD0171.JJG"/>
    <w:docVar w:name="CoverAttorneyInitials" w:val="JJG"/>
    <w:docVar w:name="CoverAttorneyLastName" w:val="Gentry"/>
    <w:docVar w:name="CoverBillType" w:val="b"/>
    <w:docVar w:name="DraftFileName" w:val="JUD0171.JJG.DOCX"/>
    <w:docVar w:name="DraftStenoName" w:val="Craft"/>
    <w:docVar w:name="dvBillNumber" w:val="1321"/>
    <w:docVar w:name="dvBillNumberPrefix" w:val="S. "/>
    <w:docVar w:name="dvOriginalBody" w:val="Senate"/>
    <w:docVar w:name="fulldraftpath" w:val="L:\S-JUD\BILLS\Malloy\JUD0171.JJG.DOCX"/>
    <w:docVar w:name="NameofBody" w:val="S"/>
    <w:docVar w:name="SenatorFolderName" w:val="Malloy"/>
    <w:docVar w:name="VGROUP2" w:val="S-JUD"/>
  </w:docVars>
  <w:rsids>
    <w:rsidRoot w:val="00C41A18"/>
    <w:rsid w:val="000141EB"/>
    <w:rsid w:val="00031AB5"/>
    <w:rsid w:val="00037226"/>
    <w:rsid w:val="00042AC1"/>
    <w:rsid w:val="00046516"/>
    <w:rsid w:val="00047D1F"/>
    <w:rsid w:val="000641BA"/>
    <w:rsid w:val="00064D6D"/>
    <w:rsid w:val="000A4D08"/>
    <w:rsid w:val="000A6988"/>
    <w:rsid w:val="000B0720"/>
    <w:rsid w:val="000B5EAF"/>
    <w:rsid w:val="000E473B"/>
    <w:rsid w:val="000F002B"/>
    <w:rsid w:val="00107C3D"/>
    <w:rsid w:val="0011499B"/>
    <w:rsid w:val="00126995"/>
    <w:rsid w:val="00136C78"/>
    <w:rsid w:val="0015391A"/>
    <w:rsid w:val="00153A11"/>
    <w:rsid w:val="0016543B"/>
    <w:rsid w:val="00170561"/>
    <w:rsid w:val="00185A56"/>
    <w:rsid w:val="00186AC9"/>
    <w:rsid w:val="0019038B"/>
    <w:rsid w:val="00190F47"/>
    <w:rsid w:val="00197DF1"/>
    <w:rsid w:val="001B3DD9"/>
    <w:rsid w:val="001C23C9"/>
    <w:rsid w:val="001D3BAC"/>
    <w:rsid w:val="001F63F2"/>
    <w:rsid w:val="00206D3D"/>
    <w:rsid w:val="0024519E"/>
    <w:rsid w:val="00245C4E"/>
    <w:rsid w:val="002633DD"/>
    <w:rsid w:val="002836A4"/>
    <w:rsid w:val="002C5896"/>
    <w:rsid w:val="002D19D2"/>
    <w:rsid w:val="002F2FFB"/>
    <w:rsid w:val="00307C2B"/>
    <w:rsid w:val="0031409E"/>
    <w:rsid w:val="00333DF1"/>
    <w:rsid w:val="0033541C"/>
    <w:rsid w:val="00364389"/>
    <w:rsid w:val="003A680D"/>
    <w:rsid w:val="003D6A5D"/>
    <w:rsid w:val="003D6E2B"/>
    <w:rsid w:val="003E5211"/>
    <w:rsid w:val="003E7597"/>
    <w:rsid w:val="003F14CB"/>
    <w:rsid w:val="004047F2"/>
    <w:rsid w:val="00406666"/>
    <w:rsid w:val="00412C9E"/>
    <w:rsid w:val="0041509E"/>
    <w:rsid w:val="00426298"/>
    <w:rsid w:val="00435521"/>
    <w:rsid w:val="00450668"/>
    <w:rsid w:val="00452CD7"/>
    <w:rsid w:val="00455D1A"/>
    <w:rsid w:val="00477696"/>
    <w:rsid w:val="004952FA"/>
    <w:rsid w:val="004A592F"/>
    <w:rsid w:val="004B6A22"/>
    <w:rsid w:val="004C13B6"/>
    <w:rsid w:val="004C2918"/>
    <w:rsid w:val="004D168C"/>
    <w:rsid w:val="004D3F32"/>
    <w:rsid w:val="004D6923"/>
    <w:rsid w:val="004D730B"/>
    <w:rsid w:val="004D7F37"/>
    <w:rsid w:val="004E023F"/>
    <w:rsid w:val="004F311C"/>
    <w:rsid w:val="00507441"/>
    <w:rsid w:val="0051584C"/>
    <w:rsid w:val="00520D79"/>
    <w:rsid w:val="00522CE0"/>
    <w:rsid w:val="00525DCD"/>
    <w:rsid w:val="00541FF6"/>
    <w:rsid w:val="00565148"/>
    <w:rsid w:val="00581497"/>
    <w:rsid w:val="00586B30"/>
    <w:rsid w:val="0058748C"/>
    <w:rsid w:val="005901D7"/>
    <w:rsid w:val="00593361"/>
    <w:rsid w:val="005A5017"/>
    <w:rsid w:val="005A648C"/>
    <w:rsid w:val="005F15E4"/>
    <w:rsid w:val="00606D23"/>
    <w:rsid w:val="00634068"/>
    <w:rsid w:val="00641A16"/>
    <w:rsid w:val="006431BA"/>
    <w:rsid w:val="0064360E"/>
    <w:rsid w:val="00691C9E"/>
    <w:rsid w:val="006B4B3C"/>
    <w:rsid w:val="006B60A9"/>
    <w:rsid w:val="006C74EA"/>
    <w:rsid w:val="006D0786"/>
    <w:rsid w:val="006D39C1"/>
    <w:rsid w:val="00713A85"/>
    <w:rsid w:val="00720D40"/>
    <w:rsid w:val="00730F48"/>
    <w:rsid w:val="007318D4"/>
    <w:rsid w:val="00743F29"/>
    <w:rsid w:val="00746551"/>
    <w:rsid w:val="0075248A"/>
    <w:rsid w:val="00765784"/>
    <w:rsid w:val="00792D74"/>
    <w:rsid w:val="007A4390"/>
    <w:rsid w:val="007A7A02"/>
    <w:rsid w:val="007C65B0"/>
    <w:rsid w:val="007D7384"/>
    <w:rsid w:val="007E3B8F"/>
    <w:rsid w:val="007E5CB7"/>
    <w:rsid w:val="008314D2"/>
    <w:rsid w:val="00840D2D"/>
    <w:rsid w:val="0085130E"/>
    <w:rsid w:val="008804AE"/>
    <w:rsid w:val="00894939"/>
    <w:rsid w:val="008A62C0"/>
    <w:rsid w:val="008B2F42"/>
    <w:rsid w:val="008C12D9"/>
    <w:rsid w:val="008D43F7"/>
    <w:rsid w:val="008E185F"/>
    <w:rsid w:val="008E4C06"/>
    <w:rsid w:val="008E5870"/>
    <w:rsid w:val="008F023B"/>
    <w:rsid w:val="008F46F1"/>
    <w:rsid w:val="008F7524"/>
    <w:rsid w:val="00904E16"/>
    <w:rsid w:val="00927C62"/>
    <w:rsid w:val="00931A96"/>
    <w:rsid w:val="0093648B"/>
    <w:rsid w:val="00936E95"/>
    <w:rsid w:val="0098028F"/>
    <w:rsid w:val="00983951"/>
    <w:rsid w:val="00984124"/>
    <w:rsid w:val="00984640"/>
    <w:rsid w:val="00995C37"/>
    <w:rsid w:val="009C118A"/>
    <w:rsid w:val="009D63EB"/>
    <w:rsid w:val="009F4BC1"/>
    <w:rsid w:val="009F7EE7"/>
    <w:rsid w:val="00A02011"/>
    <w:rsid w:val="00A35165"/>
    <w:rsid w:val="00A4011E"/>
    <w:rsid w:val="00A571EC"/>
    <w:rsid w:val="00A673FC"/>
    <w:rsid w:val="00A8230F"/>
    <w:rsid w:val="00A86015"/>
    <w:rsid w:val="00AA63F5"/>
    <w:rsid w:val="00AE07BD"/>
    <w:rsid w:val="00AE59C8"/>
    <w:rsid w:val="00AF5728"/>
    <w:rsid w:val="00B030B6"/>
    <w:rsid w:val="00B10098"/>
    <w:rsid w:val="00B101CB"/>
    <w:rsid w:val="00B10E10"/>
    <w:rsid w:val="00B35389"/>
    <w:rsid w:val="00B450FF"/>
    <w:rsid w:val="00B817AE"/>
    <w:rsid w:val="00B945C5"/>
    <w:rsid w:val="00BA20EA"/>
    <w:rsid w:val="00BA73AB"/>
    <w:rsid w:val="00BC0A56"/>
    <w:rsid w:val="00BD4742"/>
    <w:rsid w:val="00C23348"/>
    <w:rsid w:val="00C41A18"/>
    <w:rsid w:val="00C6454A"/>
    <w:rsid w:val="00C6618C"/>
    <w:rsid w:val="00C74052"/>
    <w:rsid w:val="00CB187A"/>
    <w:rsid w:val="00CB411B"/>
    <w:rsid w:val="00CC24CB"/>
    <w:rsid w:val="00CD7C71"/>
    <w:rsid w:val="00CE2C29"/>
    <w:rsid w:val="00D1088B"/>
    <w:rsid w:val="00D12C82"/>
    <w:rsid w:val="00D156D2"/>
    <w:rsid w:val="00D21A8F"/>
    <w:rsid w:val="00D60901"/>
    <w:rsid w:val="00D6248E"/>
    <w:rsid w:val="00D77EC0"/>
    <w:rsid w:val="00D86943"/>
    <w:rsid w:val="00DA47B9"/>
    <w:rsid w:val="00DA4BCD"/>
    <w:rsid w:val="00DA53B1"/>
    <w:rsid w:val="00DA6046"/>
    <w:rsid w:val="00DB73E7"/>
    <w:rsid w:val="00DC1911"/>
    <w:rsid w:val="00DD5451"/>
    <w:rsid w:val="00DD61A7"/>
    <w:rsid w:val="00DF1C15"/>
    <w:rsid w:val="00E218FD"/>
    <w:rsid w:val="00E4343A"/>
    <w:rsid w:val="00E50397"/>
    <w:rsid w:val="00E677A1"/>
    <w:rsid w:val="00E71DF0"/>
    <w:rsid w:val="00E91E2F"/>
    <w:rsid w:val="00EA3546"/>
    <w:rsid w:val="00EB1AAC"/>
    <w:rsid w:val="00EB47AE"/>
    <w:rsid w:val="00EC34E1"/>
    <w:rsid w:val="00EC3780"/>
    <w:rsid w:val="00ED0AE1"/>
    <w:rsid w:val="00EF3119"/>
    <w:rsid w:val="00F0234A"/>
    <w:rsid w:val="00F03B2F"/>
    <w:rsid w:val="00F24B56"/>
    <w:rsid w:val="00F52959"/>
    <w:rsid w:val="00F532D4"/>
    <w:rsid w:val="00F54B5B"/>
    <w:rsid w:val="00F55884"/>
    <w:rsid w:val="00F72024"/>
    <w:rsid w:val="00F81534"/>
    <w:rsid w:val="00F950B1"/>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73"/>
    <o:shapelayout v:ext="edit">
      <o:idmap v:ext="edit" data="1"/>
    </o:shapelayout>
  </w:shapeDefaults>
  <w:doNotEmbedSmartTags/>
  <w:decimalSymbol w:val="."/>
  <w:listSeparator w:val=","/>
  <w15:docId w15:val="{3BD1E74E-5B3A-493B-8A57-B6C9F86A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E02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1-12.docx" TargetMode="External"/><Relationship Id="rId13" Type="http://schemas.openxmlformats.org/officeDocument/2006/relationships/hyperlink" Target="file:///h:\hj%20archive\2012\04-24-12.docx" TargetMode="External"/><Relationship Id="rId18" Type="http://schemas.openxmlformats.org/officeDocument/2006/relationships/hyperlink" Target="file:///h:\hj%20archive\2012\06-06-12.docx" TargetMode="External"/><Relationship Id="rId26" Type="http://schemas.openxmlformats.org/officeDocument/2006/relationships/hyperlink" Target="file:///p:\pprever\2011-12\1321_20120606.docx" TargetMode="External"/><Relationship Id="rId3" Type="http://schemas.openxmlformats.org/officeDocument/2006/relationships/webSettings" Target="webSettings.xml"/><Relationship Id="rId21" Type="http://schemas.openxmlformats.org/officeDocument/2006/relationships/hyperlink" Target="file:///h:\hj%20archive\2012\06-07-12.docx" TargetMode="External"/><Relationship Id="rId7" Type="http://schemas.openxmlformats.org/officeDocument/2006/relationships/hyperlink" Target="file:///h:\sj%20archive\2012\03-07-12.docx" TargetMode="External"/><Relationship Id="rId12" Type="http://schemas.openxmlformats.org/officeDocument/2006/relationships/hyperlink" Target="file:///h:\hj%20archive\2012\04-24-12.docx" TargetMode="External"/><Relationship Id="rId17" Type="http://schemas.openxmlformats.org/officeDocument/2006/relationships/hyperlink" Target="file:///h:\hj%20archive\2012\06-06-12.docx" TargetMode="External"/><Relationship Id="rId25" Type="http://schemas.openxmlformats.org/officeDocument/2006/relationships/hyperlink" Target="file:///p:\pprever\2011-12\1321_20120530.docx" TargetMode="External"/><Relationship Id="rId2" Type="http://schemas.openxmlformats.org/officeDocument/2006/relationships/settings" Target="settings.xml"/><Relationship Id="rId16" Type="http://schemas.openxmlformats.org/officeDocument/2006/relationships/hyperlink" Target="file:///h:\hj%20archive\2012\06-06-12.docx" TargetMode="External"/><Relationship Id="rId20" Type="http://schemas.openxmlformats.org/officeDocument/2006/relationships/hyperlink" Target="file:///h:\sj%20archive\2012\06-07-12.docx"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2\03-07-12.docx" TargetMode="External"/><Relationship Id="rId11" Type="http://schemas.openxmlformats.org/officeDocument/2006/relationships/hyperlink" Target="file:///h:\sj%20archive\2012\04-19-12.docx" TargetMode="External"/><Relationship Id="rId24" Type="http://schemas.openxmlformats.org/officeDocument/2006/relationships/hyperlink" Target="file:///p:\pprever\2011-12\1321_20120321.docx" TargetMode="External"/><Relationship Id="rId5" Type="http://schemas.openxmlformats.org/officeDocument/2006/relationships/endnotes" Target="endnotes.xml"/><Relationship Id="rId15" Type="http://schemas.openxmlformats.org/officeDocument/2006/relationships/hyperlink" Target="file:///h:\hj%20archive\2012\06-05-12.docx" TargetMode="External"/><Relationship Id="rId23" Type="http://schemas.openxmlformats.org/officeDocument/2006/relationships/hyperlink" Target="file:///p:\pprever\2011-12\1321_20120307.docx" TargetMode="External"/><Relationship Id="rId28" Type="http://schemas.openxmlformats.org/officeDocument/2006/relationships/footer" Target="footer1.xml"/><Relationship Id="rId10" Type="http://schemas.openxmlformats.org/officeDocument/2006/relationships/hyperlink" Target="file:///h:\sj%20archive\2012\04-17-12.docx" TargetMode="External"/><Relationship Id="rId19" Type="http://schemas.openxmlformats.org/officeDocument/2006/relationships/hyperlink" Target="file:///h:\sj%20archive\2012\06-07-12.docx"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2\04-17-12.docx" TargetMode="External"/><Relationship Id="rId14" Type="http://schemas.openxmlformats.org/officeDocument/2006/relationships/hyperlink" Target="file:///h:\hj%20archive\2012\05-30-12.docx" TargetMode="External"/><Relationship Id="rId22" Type="http://schemas.openxmlformats.org/officeDocument/2006/relationships/hyperlink" Target="file:///h:\sj%20archive\2012\06-07-12.docx" TargetMode="External"/><Relationship Id="rId27" Type="http://schemas.openxmlformats.org/officeDocument/2006/relationships/hyperlink" Target="file:///p:\pprever\2011-12\1321_20120607.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6662</Words>
  <Characters>34979</Characters>
  <Application>Microsoft Office Word</Application>
  <DocSecurity>4</DocSecurity>
  <Lines>796</Lines>
  <Paragraphs>130</Paragraphs>
  <ScaleCrop>false</ScaleCrop>
  <Company> </Company>
  <LinksUpToDate>false</LinksUpToDate>
  <CharactersWithSpaces>41773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1321: Amendment to the Omnibus Crime Reduction and Sentencing Reform Act - South Carolina Legislature Online</dc:title>
  <dc:subject/>
  <dc:creator>SusanCraft</dc:creator>
  <cp:keywords/>
  <dc:description/>
  <cp:lastModifiedBy>N Cumfer</cp:lastModifiedBy>
  <cp:revision>2</cp:revision>
  <dcterms:created xsi:type="dcterms:W3CDTF">2014-11-21T21:15:00Z</dcterms:created>
  <dcterms:modified xsi:type="dcterms:W3CDTF">2014-11-21T21:15:00Z</dcterms:modified>
</cp:coreProperties>
</file>