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93C" w:rsidRDefault="0019093C" w:rsidP="0019093C">
      <w:pPr>
        <w:widowControl w:val="0"/>
        <w:jc w:val="center"/>
      </w:pPr>
      <w:bookmarkStart w:id="0" w:name="_GoBack"/>
      <w:bookmarkEnd w:id="0"/>
      <w:r w:rsidRPr="0019093C">
        <w:rPr>
          <w:b/>
        </w:rPr>
        <w:t>South Carolina General Assembly</w:t>
      </w:r>
    </w:p>
    <w:p w:rsidR="0019093C" w:rsidRDefault="0019093C" w:rsidP="0019093C">
      <w:pPr>
        <w:widowControl w:val="0"/>
        <w:jc w:val="center"/>
      </w:pPr>
      <w:r>
        <w:t>119th Session, 2011-2012</w:t>
      </w:r>
    </w:p>
    <w:p w:rsidR="0019093C" w:rsidRDefault="0019093C" w:rsidP="0019093C">
      <w:pPr>
        <w:widowControl w:val="0"/>
        <w:jc w:val="left"/>
      </w:pPr>
    </w:p>
    <w:p w:rsidR="0019093C" w:rsidRDefault="0019093C" w:rsidP="0019093C">
      <w:pPr>
        <w:widowControl w:val="0"/>
        <w:jc w:val="left"/>
        <w:rPr>
          <w:b/>
        </w:rPr>
      </w:pPr>
      <w:r w:rsidRPr="0019093C">
        <w:rPr>
          <w:b/>
        </w:rPr>
        <w:t>S.</w:t>
      </w:r>
      <w:r>
        <w:rPr>
          <w:b/>
        </w:rPr>
        <w:t xml:space="preserve"> </w:t>
      </w:r>
      <w:r w:rsidRPr="0019093C">
        <w:rPr>
          <w:b/>
        </w:rPr>
        <w:t>164</w:t>
      </w:r>
    </w:p>
    <w:p w:rsidR="0019093C" w:rsidRDefault="0019093C" w:rsidP="0019093C">
      <w:pPr>
        <w:widowControl w:val="0"/>
        <w:jc w:val="left"/>
        <w:rPr>
          <w:b/>
        </w:rPr>
      </w:pPr>
    </w:p>
    <w:p w:rsidR="0019093C" w:rsidRDefault="0019093C" w:rsidP="0019093C">
      <w:pPr>
        <w:widowControl w:val="0"/>
        <w:jc w:val="left"/>
      </w:pPr>
      <w:r w:rsidRPr="0019093C">
        <w:rPr>
          <w:b/>
        </w:rPr>
        <w:t>STATUS INFORMATION</w:t>
      </w:r>
    </w:p>
    <w:p w:rsidR="0019093C" w:rsidRDefault="0019093C" w:rsidP="0019093C">
      <w:pPr>
        <w:widowControl w:val="0"/>
        <w:jc w:val="left"/>
      </w:pPr>
    </w:p>
    <w:p w:rsidR="0019093C" w:rsidRDefault="0019093C" w:rsidP="0019093C">
      <w:pPr>
        <w:widowControl w:val="0"/>
        <w:jc w:val="left"/>
      </w:pPr>
      <w:r>
        <w:t>General Bill</w:t>
      </w:r>
    </w:p>
    <w:p w:rsidR="0019093C" w:rsidRDefault="00C776BF" w:rsidP="0019093C">
      <w:pPr>
        <w:widowControl w:val="0"/>
        <w:jc w:val="left"/>
      </w:pPr>
      <w:r>
        <w:t>Sponsors: Senators Shoopman, Verdin and Fair</w:t>
      </w:r>
    </w:p>
    <w:p w:rsidR="0019093C" w:rsidRDefault="0019093C" w:rsidP="0019093C">
      <w:pPr>
        <w:widowControl w:val="0"/>
        <w:jc w:val="left"/>
      </w:pPr>
      <w:r>
        <w:t>Document Path: l:\council\bills\ms\7037ahb11.docx</w:t>
      </w:r>
    </w:p>
    <w:p w:rsidR="00AA175E" w:rsidRDefault="00AA175E" w:rsidP="0019093C">
      <w:pPr>
        <w:widowControl w:val="0"/>
        <w:jc w:val="left"/>
      </w:pPr>
      <w:r>
        <w:t>Companion/Similar bill(s): 3403</w:t>
      </w:r>
    </w:p>
    <w:p w:rsidR="0019093C" w:rsidRDefault="0019093C" w:rsidP="0019093C">
      <w:pPr>
        <w:widowControl w:val="0"/>
        <w:jc w:val="left"/>
      </w:pPr>
    </w:p>
    <w:p w:rsidR="004D21E5" w:rsidRDefault="004D21E5" w:rsidP="0019093C">
      <w:pPr>
        <w:widowControl w:val="0"/>
        <w:jc w:val="left"/>
      </w:pPr>
      <w:r>
        <w:t>Introduced in the Senate on January 11, 2011</w:t>
      </w:r>
    </w:p>
    <w:p w:rsidR="004D21E5" w:rsidRPr="004D21E5" w:rsidRDefault="004D21E5" w:rsidP="0019093C">
      <w:pPr>
        <w:widowControl w:val="0"/>
        <w:jc w:val="left"/>
      </w:pPr>
      <w:r>
        <w:t xml:space="preserve">Currently residing in the Senate Committee on </w:t>
      </w:r>
      <w:r w:rsidRPr="004D21E5">
        <w:rPr>
          <w:b/>
        </w:rPr>
        <w:t>Judiciary</w:t>
      </w:r>
    </w:p>
    <w:p w:rsidR="004D21E5" w:rsidRDefault="004D21E5" w:rsidP="0019093C">
      <w:pPr>
        <w:widowControl w:val="0"/>
        <w:jc w:val="left"/>
      </w:pPr>
    </w:p>
    <w:p w:rsidR="0019093C" w:rsidRDefault="0019093C" w:rsidP="0019093C">
      <w:pPr>
        <w:widowControl w:val="0"/>
        <w:jc w:val="left"/>
      </w:pPr>
      <w:r>
        <w:t xml:space="preserve">Summary: </w:t>
      </w:r>
      <w:r w:rsidR="00660D4B">
        <w:t>Definition of person</w:t>
      </w:r>
    </w:p>
    <w:p w:rsidR="0019093C" w:rsidRDefault="0019093C" w:rsidP="0019093C">
      <w:pPr>
        <w:widowControl w:val="0"/>
        <w:jc w:val="left"/>
      </w:pPr>
    </w:p>
    <w:p w:rsidR="0019093C" w:rsidRDefault="0019093C" w:rsidP="0019093C">
      <w:pPr>
        <w:widowControl w:val="0"/>
        <w:jc w:val="left"/>
      </w:pPr>
    </w:p>
    <w:p w:rsidR="0019093C" w:rsidRDefault="0019093C" w:rsidP="0019093C">
      <w:pPr>
        <w:widowControl w:val="0"/>
        <w:tabs>
          <w:tab w:val="center" w:pos="590"/>
          <w:tab w:val="center" w:pos="1440"/>
          <w:tab w:val="left" w:pos="1872"/>
          <w:tab w:val="left" w:pos="9187"/>
        </w:tabs>
        <w:jc w:val="left"/>
      </w:pPr>
      <w:r w:rsidRPr="0019093C">
        <w:rPr>
          <w:b/>
        </w:rPr>
        <w:t>HISTORY OF LEGISLATIVE ACTIONS</w:t>
      </w:r>
    </w:p>
    <w:p w:rsidR="0019093C" w:rsidRDefault="0019093C" w:rsidP="0019093C">
      <w:pPr>
        <w:widowControl w:val="0"/>
        <w:tabs>
          <w:tab w:val="center" w:pos="590"/>
          <w:tab w:val="center" w:pos="1440"/>
          <w:tab w:val="left" w:pos="1872"/>
          <w:tab w:val="left" w:pos="9187"/>
        </w:tabs>
        <w:jc w:val="left"/>
      </w:pPr>
    </w:p>
    <w:p w:rsidR="0019093C" w:rsidRPr="0019093C" w:rsidRDefault="0019093C" w:rsidP="0019093C">
      <w:pPr>
        <w:widowControl w:val="0"/>
        <w:tabs>
          <w:tab w:val="center" w:pos="590"/>
          <w:tab w:val="center" w:pos="1440"/>
          <w:tab w:val="left" w:pos="1872"/>
          <w:tab w:val="left" w:pos="9187"/>
        </w:tabs>
        <w:jc w:val="left"/>
      </w:pPr>
      <w:r w:rsidRPr="0019093C">
        <w:rPr>
          <w:u w:val="single"/>
        </w:rPr>
        <w:tab/>
        <w:t>Date</w:t>
      </w:r>
      <w:r w:rsidRPr="0019093C">
        <w:rPr>
          <w:u w:val="single"/>
        </w:rPr>
        <w:tab/>
        <w:t>Body</w:t>
      </w:r>
      <w:r w:rsidRPr="0019093C">
        <w:rPr>
          <w:u w:val="single"/>
        </w:rPr>
        <w:tab/>
        <w:t>Action Description with journal page number</w:t>
      </w:r>
      <w:r w:rsidRPr="0019093C">
        <w:rPr>
          <w:u w:val="single"/>
        </w:rPr>
        <w:tab/>
      </w:r>
    </w:p>
    <w:p w:rsidR="00215F5B" w:rsidRDefault="00215F5B" w:rsidP="00215F5B">
      <w:pPr>
        <w:widowControl w:val="0"/>
        <w:tabs>
          <w:tab w:val="right" w:pos="1008"/>
          <w:tab w:val="left" w:pos="1152"/>
          <w:tab w:val="left" w:pos="1872"/>
          <w:tab w:val="left" w:pos="9187"/>
        </w:tabs>
        <w:ind w:left="2088" w:hanging="2088"/>
        <w:jc w:val="left"/>
      </w:pPr>
      <w:r>
        <w:tab/>
        <w:t>12/1/2010</w:t>
      </w:r>
      <w:r>
        <w:tab/>
        <w:t>Senate</w:t>
      </w:r>
      <w:r>
        <w:tab/>
      </w:r>
      <w:r w:rsidRPr="00DF6960">
        <w:t>Prefiled</w:t>
      </w:r>
    </w:p>
    <w:p w:rsidR="00215F5B" w:rsidRDefault="00215F5B" w:rsidP="00215F5B">
      <w:pPr>
        <w:widowControl w:val="0"/>
        <w:tabs>
          <w:tab w:val="right" w:pos="1008"/>
          <w:tab w:val="left" w:pos="1152"/>
          <w:tab w:val="left" w:pos="1872"/>
          <w:tab w:val="left" w:pos="9187"/>
        </w:tabs>
        <w:ind w:left="2088" w:hanging="2088"/>
        <w:jc w:val="left"/>
      </w:pPr>
      <w:r>
        <w:tab/>
        <w:t>12/1/2010</w:t>
      </w:r>
      <w:r>
        <w:tab/>
        <w:t>Senate</w:t>
      </w:r>
      <w:r>
        <w:tab/>
      </w:r>
      <w:r w:rsidRPr="00DF6960">
        <w:t xml:space="preserve">Referred to Committee on </w:t>
      </w:r>
      <w:r w:rsidRPr="00DF6960">
        <w:rPr>
          <w:b/>
        </w:rPr>
        <w:t>Judiciary</w:t>
      </w:r>
    </w:p>
    <w:p w:rsidR="00215F5B" w:rsidRDefault="00215F5B" w:rsidP="00215F5B">
      <w:pPr>
        <w:widowControl w:val="0"/>
        <w:tabs>
          <w:tab w:val="right" w:pos="1008"/>
          <w:tab w:val="left" w:pos="1152"/>
          <w:tab w:val="left" w:pos="1872"/>
          <w:tab w:val="left" w:pos="9187"/>
        </w:tabs>
        <w:ind w:left="2088" w:hanging="2088"/>
        <w:jc w:val="left"/>
      </w:pPr>
      <w:r>
        <w:tab/>
        <w:t>1/11/2011</w:t>
      </w:r>
      <w:r>
        <w:tab/>
        <w:t>Senate</w:t>
      </w:r>
      <w:r>
        <w:tab/>
      </w:r>
      <w:r w:rsidRPr="00DF6960">
        <w:t>Introduced and read first time (</w:t>
      </w:r>
      <w:hyperlink r:id="rId7" w:history="1">
        <w:r w:rsidRPr="00DF6960">
          <w:rPr>
            <w:rStyle w:val="Hyperlink"/>
          </w:rPr>
          <w:t>Senate Journal</w:t>
        </w:r>
        <w:r w:rsidRPr="00DF6960">
          <w:rPr>
            <w:rStyle w:val="Hyperlink"/>
          </w:rPr>
          <w:noBreakHyphen/>
          <w:t>page 79</w:t>
        </w:r>
      </w:hyperlink>
      <w:r w:rsidRPr="00DF6960">
        <w:t>)</w:t>
      </w:r>
    </w:p>
    <w:p w:rsidR="00215F5B" w:rsidRDefault="00215F5B" w:rsidP="00215F5B">
      <w:pPr>
        <w:widowControl w:val="0"/>
        <w:tabs>
          <w:tab w:val="right" w:pos="1008"/>
          <w:tab w:val="left" w:pos="1152"/>
          <w:tab w:val="left" w:pos="1872"/>
          <w:tab w:val="left" w:pos="9187"/>
        </w:tabs>
        <w:ind w:left="2088" w:hanging="2088"/>
        <w:jc w:val="left"/>
      </w:pPr>
      <w:r>
        <w:tab/>
        <w:t>1/11/2011</w:t>
      </w:r>
      <w:r>
        <w:tab/>
        <w:t>Senate</w:t>
      </w:r>
      <w:r>
        <w:tab/>
      </w:r>
      <w:r w:rsidRPr="00DF6960">
        <w:t>Ref</w:t>
      </w:r>
      <w:r>
        <w:t xml:space="preserve">erred to Committee on </w:t>
      </w:r>
      <w:r w:rsidRPr="00DF6960">
        <w:rPr>
          <w:b/>
        </w:rPr>
        <w:t>Judiciary</w:t>
      </w:r>
      <w:r>
        <w:t xml:space="preserve"> </w:t>
      </w:r>
      <w:r w:rsidRPr="00DF6960">
        <w:t>(</w:t>
      </w:r>
      <w:hyperlink r:id="rId8" w:history="1">
        <w:r w:rsidRPr="00DF6960">
          <w:rPr>
            <w:rStyle w:val="Hyperlink"/>
          </w:rPr>
          <w:t>Senate Journal</w:t>
        </w:r>
        <w:r w:rsidRPr="00DF6960">
          <w:rPr>
            <w:rStyle w:val="Hyperlink"/>
          </w:rPr>
          <w:noBreakHyphen/>
          <w:t>page 79</w:t>
        </w:r>
      </w:hyperlink>
      <w:r w:rsidRPr="00DF6960">
        <w:t>)</w:t>
      </w:r>
    </w:p>
    <w:p w:rsidR="00215F5B" w:rsidRDefault="00215F5B" w:rsidP="00215F5B">
      <w:pPr>
        <w:widowControl w:val="0"/>
        <w:tabs>
          <w:tab w:val="right" w:pos="1008"/>
          <w:tab w:val="left" w:pos="1152"/>
          <w:tab w:val="left" w:pos="1872"/>
          <w:tab w:val="left" w:pos="9187"/>
        </w:tabs>
        <w:ind w:left="2088" w:hanging="2088"/>
        <w:jc w:val="left"/>
      </w:pPr>
      <w:r>
        <w:tab/>
        <w:t>1/9/2012</w:t>
      </w:r>
      <w:r>
        <w:tab/>
        <w:t>Senate</w:t>
      </w:r>
      <w:r>
        <w:tab/>
      </w:r>
      <w:r w:rsidRPr="00DF6960">
        <w:t>Referred to Su</w:t>
      </w:r>
      <w:r>
        <w:t xml:space="preserve">bcommittee: Knotts (ch), Hutto, </w:t>
      </w:r>
      <w:r w:rsidRPr="00DF6960">
        <w:t>Malloy, Campsen, Shoopman</w:t>
      </w:r>
    </w:p>
    <w:p w:rsidR="00215F5B" w:rsidRDefault="00215F5B" w:rsidP="00215F5B">
      <w:pPr>
        <w:widowControl w:val="0"/>
        <w:tabs>
          <w:tab w:val="right" w:pos="1008"/>
          <w:tab w:val="left" w:pos="1152"/>
          <w:tab w:val="left" w:pos="1872"/>
          <w:tab w:val="left" w:pos="9187"/>
        </w:tabs>
        <w:ind w:left="2088" w:hanging="2088"/>
        <w:jc w:val="left"/>
      </w:pPr>
    </w:p>
    <w:p w:rsidR="0019093C" w:rsidRPr="0019093C" w:rsidRDefault="0019093C" w:rsidP="0019093C">
      <w:pPr>
        <w:widowControl w:val="0"/>
        <w:tabs>
          <w:tab w:val="right" w:pos="1008"/>
          <w:tab w:val="left" w:pos="1152"/>
          <w:tab w:val="left" w:pos="1872"/>
          <w:tab w:val="left" w:pos="9187"/>
        </w:tabs>
        <w:ind w:left="2088" w:hanging="2088"/>
        <w:jc w:val="left"/>
      </w:pPr>
    </w:p>
    <w:p w:rsidR="0019093C" w:rsidRDefault="0019093C" w:rsidP="0019093C">
      <w:pPr>
        <w:widowControl w:val="0"/>
        <w:jc w:val="left"/>
      </w:pPr>
      <w:r w:rsidRPr="0019093C">
        <w:rPr>
          <w:b/>
        </w:rPr>
        <w:t>VERSIONS OF THIS BILL</w:t>
      </w:r>
    </w:p>
    <w:p w:rsidR="0019093C" w:rsidRDefault="0019093C" w:rsidP="0019093C">
      <w:pPr>
        <w:widowControl w:val="0"/>
        <w:jc w:val="left"/>
      </w:pPr>
    </w:p>
    <w:p w:rsidR="0019093C" w:rsidRDefault="00FC6BD2" w:rsidP="0019093C">
      <w:pPr>
        <w:widowControl w:val="0"/>
        <w:jc w:val="left"/>
      </w:pPr>
      <w:hyperlink r:id="rId9" w:history="1">
        <w:r w:rsidR="0019093C">
          <w:rPr>
            <w:rStyle w:val="Hyperlink"/>
          </w:rPr>
          <w:t>12/1/2010</w:t>
        </w:r>
      </w:hyperlink>
    </w:p>
    <w:p w:rsidR="0019093C" w:rsidRDefault="0019093C" w:rsidP="0019093C"/>
    <w:p w:rsidR="0019093C" w:rsidRDefault="0019093C" w:rsidP="0019093C">
      <w:pPr>
        <w:sectPr w:rsidR="0019093C" w:rsidSect="0019093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1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5D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noBreakHyphen/>
        <w:t>7</w:t>
      </w:r>
      <w:r>
        <w:noBreakHyphen/>
        <w:t>30, CODE OF LAWS OF SOUTH CAROLINA, 1976, RELATING TO THE CONSTRUCTION OF THE WORDS “PERSON” AND “PARTY” AS THOSE WORDS APPEAR IN THE LAWS OF THIS STATE, SO AS TO PROVIDE THAT THE CONSTRUCTION OF “PERSON”, “HUMAN BEING”, “CHILD”, AND “INDIVIDUAL” INCLUDES INFANT MEMBERS OF THE SPECIES HOMO SAPIENS WHO ARE BORN ALIVE, AND TO DEFINE “BORN ALIVE”.</w:t>
      </w:r>
    </w:p>
    <w:p w:rsidR="009C5DBE" w:rsidRDefault="009C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5DBE" w:rsidRDefault="009C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DBE" w:rsidRDefault="009C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D4" w:rsidRDefault="009C5DBE"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6AD4">
        <w:t>Section 2</w:t>
      </w:r>
      <w:r w:rsidR="00AA6AD4">
        <w:noBreakHyphen/>
        <w:t>7</w:t>
      </w:r>
      <w:r w:rsidR="00AA6AD4">
        <w:noBreakHyphen/>
        <w:t>30 of the 1976 Code is amended to read:</w:t>
      </w:r>
    </w:p>
    <w:p w:rsidR="00AA6AD4" w:rsidRDefault="00AA6AD4"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D4" w:rsidRDefault="00AA6AD4"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2-7-30.</w:t>
      </w:r>
      <w:r>
        <w:tab/>
      </w:r>
      <w:r>
        <w:rPr>
          <w:u w:val="single"/>
        </w:rPr>
        <w:t>(A)</w:t>
      </w:r>
      <w:r>
        <w:tab/>
      </w:r>
      <w:r>
        <w:rPr>
          <w:color w:val="000000" w:themeColor="text1"/>
          <w:u w:color="000000" w:themeColor="text1"/>
        </w:rPr>
        <w:t xml:space="preserve">The words ‘person’ and ‘party’ and any other word importing the singular number used in </w:t>
      </w:r>
      <w:r>
        <w:rPr>
          <w:strike/>
          <w:color w:val="000000" w:themeColor="text1"/>
          <w:u w:color="000000" w:themeColor="text1"/>
        </w:rPr>
        <w:t>any</w:t>
      </w:r>
      <w:r>
        <w:rPr>
          <w:color w:val="000000" w:themeColor="text1"/>
          <w:u w:color="000000" w:themeColor="text1"/>
        </w:rPr>
        <w:t xml:space="preserve"> </w:t>
      </w:r>
      <w:r w:rsidRPr="00D750A7">
        <w:rPr>
          <w:color w:val="000000" w:themeColor="text1"/>
          <w:u w:val="single" w:color="000000" w:themeColor="text1"/>
        </w:rPr>
        <w:t>an</w:t>
      </w:r>
      <w:r>
        <w:rPr>
          <w:color w:val="000000" w:themeColor="text1"/>
          <w:u w:color="000000" w:themeColor="text1"/>
        </w:rPr>
        <w:t xml:space="preserve"> act or joint resolution </w:t>
      </w:r>
      <w:r>
        <w:rPr>
          <w:strike/>
          <w:color w:val="000000" w:themeColor="text1"/>
          <w:u w:color="000000" w:themeColor="text1"/>
        </w:rPr>
        <w:t>shall</w:t>
      </w:r>
      <w:r>
        <w:rPr>
          <w:color w:val="000000" w:themeColor="text1"/>
          <w:u w:color="000000" w:themeColor="text1"/>
        </w:rPr>
        <w:t xml:space="preserve"> </w:t>
      </w:r>
      <w:r w:rsidRPr="00D750A7">
        <w:rPr>
          <w:color w:val="000000" w:themeColor="text1"/>
          <w:u w:val="single" w:color="000000" w:themeColor="text1"/>
        </w:rPr>
        <w:t>must</w:t>
      </w:r>
      <w:r>
        <w:rPr>
          <w:color w:val="000000" w:themeColor="text1"/>
          <w:u w:color="000000" w:themeColor="text1"/>
        </w:rPr>
        <w:t xml:space="preserve"> be held to include the plural and to include firms, companies, associations and corporations and all words in the plural </w:t>
      </w:r>
      <w:r w:rsidRPr="00D750A7">
        <w:rPr>
          <w:strike/>
          <w:color w:val="000000" w:themeColor="text1"/>
          <w:u w:color="000000" w:themeColor="text1"/>
        </w:rPr>
        <w:t>shall</w:t>
      </w:r>
      <w:r>
        <w:rPr>
          <w:color w:val="000000" w:themeColor="text1"/>
          <w:u w:color="000000" w:themeColor="text1"/>
        </w:rPr>
        <w:t xml:space="preserve"> apply also to the singular in all cases in which the spirit and intent of the act or joint resolution may require it.  All words in an act or joint resolution importing the masculine gender </w:t>
      </w:r>
      <w:r w:rsidRPr="00D750A7">
        <w:rPr>
          <w:strike/>
          <w:color w:val="000000" w:themeColor="text1"/>
          <w:u w:color="000000" w:themeColor="text1"/>
        </w:rPr>
        <w:t>shall</w:t>
      </w:r>
      <w:r>
        <w:rPr>
          <w:color w:val="000000" w:themeColor="text1"/>
          <w:u w:color="000000" w:themeColor="text1"/>
        </w:rPr>
        <w:t xml:space="preserve"> apply to females also and words in the feminine gender </w:t>
      </w:r>
      <w:r w:rsidRPr="00D750A7">
        <w:rPr>
          <w:strike/>
          <w:color w:val="000000" w:themeColor="text1"/>
          <w:u w:color="000000" w:themeColor="text1"/>
        </w:rPr>
        <w:t>shall</w:t>
      </w:r>
      <w:r>
        <w:rPr>
          <w:color w:val="000000" w:themeColor="text1"/>
          <w:u w:color="000000" w:themeColor="text1"/>
        </w:rPr>
        <w:t xml:space="preserve"> apply to males.  And all words importing the present tense </w:t>
      </w:r>
      <w:r w:rsidRPr="00D750A7">
        <w:rPr>
          <w:strike/>
          <w:color w:val="000000" w:themeColor="text1"/>
          <w:u w:color="000000" w:themeColor="text1"/>
        </w:rPr>
        <w:t>shall</w:t>
      </w:r>
      <w:r>
        <w:rPr>
          <w:color w:val="000000" w:themeColor="text1"/>
          <w:u w:color="000000" w:themeColor="text1"/>
        </w:rPr>
        <w:t xml:space="preserve"> apply to the future also.</w:t>
      </w:r>
    </w:p>
    <w:p w:rsidR="00AA6AD4" w:rsidRDefault="00AA6AD4"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(B)(1)</w:t>
      </w:r>
      <w:r>
        <w:rPr>
          <w:color w:val="000000" w:themeColor="text1"/>
          <w:u w:color="000000" w:themeColor="text1"/>
        </w:rPr>
        <w:tab/>
      </w:r>
      <w:r>
        <w:rPr>
          <w:color w:val="000000" w:themeColor="text1"/>
          <w:u w:val="single" w:color="000000" w:themeColor="text1"/>
        </w:rPr>
        <w:t>In determining the meaning of an act or joint resolution of the General Assembly or in a regulation promulgated pursuant to Article 1, Chapter 23, Title 1, the words ‘person’, ‘human being’, ‘child’, and ‘individual’, must include infant members of the species homo sapiens who are born alive at any stage of development.</w:t>
      </w:r>
    </w:p>
    <w:p w:rsidR="00AA6AD4" w:rsidRDefault="00AA6AD4"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AA6AD4" w:rsidRDefault="00AA6AD4"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Nothing in this subsection may be construed to affirm, deny, expand, or contract a legal status or legal right applicable to any member of the species homo sapiens at any point before being born alive as defined in this subsection.</w:t>
      </w:r>
      <w:r>
        <w:rPr>
          <w:color w:val="000000" w:themeColor="text1"/>
          <w:u w:color="000000" w:themeColor="text1"/>
        </w:rPr>
        <w:t>”</w:t>
      </w:r>
    </w:p>
    <w:p w:rsidR="00AA6AD4" w:rsidRDefault="00AA6AD4" w:rsidP="00AA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E18D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18D3" w:rsidRDefault="00AE18D3" w:rsidP="0019093C">
      <w:pPr>
        <w:suppressAutoHyphens/>
      </w:pPr>
    </w:p>
    <w:sectPr w:rsidR="00AE18D3" w:rsidSect="001909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DBE" w:rsidRDefault="009C5DBE" w:rsidP="009F0C77">
      <w:r>
        <w:separator/>
      </w:r>
    </w:p>
  </w:endnote>
  <w:endnote w:type="continuationSeparator" w:id="0">
    <w:p w:rsidR="009C5DBE" w:rsidRDefault="009C5D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042B2D-F9D7-4AA3-B396-DE79C524531C}"/>
    <w:embedBold r:id="rId2" w:fontKey="{A06EE805-5493-413E-BF04-6FD4EBE7A71C}"/>
  </w:font>
  <w:font w:name="Calibri">
    <w:panose1 w:val="020F0502020204030204"/>
    <w:charset w:val="00"/>
    <w:family w:val="swiss"/>
    <w:pitch w:val="variable"/>
    <w:sig w:usb0="E10002FF" w:usb1="4000ACFF" w:usb2="00000009" w:usb3="00000000" w:csb0="0000019F" w:csb1="00000000"/>
    <w:embedRegular r:id="rId3" w:fontKey="{4A4EB1FD-C920-4FAE-BD9E-57E124180A45}"/>
  </w:font>
  <w:font w:name="Tahoma">
    <w:panose1 w:val="020B0604030504040204"/>
    <w:charset w:val="00"/>
    <w:family w:val="swiss"/>
    <w:pitch w:val="variable"/>
    <w:sig w:usb0="21002A87" w:usb1="80000000" w:usb2="00000008" w:usb3="00000000" w:csb0="000101FF" w:csb1="00000000"/>
    <w:embedRegular r:id="rId4" w:fontKey="{BC2564D6-1201-4B5B-B20A-AB29B1453EA3}"/>
  </w:font>
  <w:font w:name="Cambria">
    <w:panose1 w:val="02040503050406030204"/>
    <w:charset w:val="00"/>
    <w:family w:val="roman"/>
    <w:pitch w:val="variable"/>
    <w:sig w:usb0="E00002FF" w:usb1="400004FF" w:usb2="00000000" w:usb3="00000000" w:csb0="0000019F" w:csb1="00000000"/>
    <w:embedRegular r:id="rId5" w:fontKey="{48901D8D-CD2C-4EE7-B8AB-430375BE00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93C" w:rsidRPr="00AE18D3" w:rsidRDefault="0019093C" w:rsidP="00AE18D3">
    <w:pPr>
      <w:pStyle w:val="Footer"/>
      <w:tabs>
        <w:tab w:val="clear" w:pos="4680"/>
        <w:tab w:val="clear" w:pos="9360"/>
        <w:tab w:val="center" w:pos="2995"/>
      </w:tabs>
      <w:spacing w:before="120"/>
    </w:pPr>
    <w:r>
      <w:t>[164]</w:t>
    </w:r>
    <w:r>
      <w:tab/>
    </w:r>
    <w:r w:rsidR="00FC6BD2">
      <w:fldChar w:fldCharType="begin"/>
    </w:r>
    <w:r w:rsidR="00FC6BD2">
      <w:instrText xml:space="preserve"> PAGE  \* MERGEFORMAT </w:instrText>
    </w:r>
    <w:r w:rsidR="00FC6BD2">
      <w:fldChar w:fldCharType="separate"/>
    </w:r>
    <w:r w:rsidR="00FC6BD2">
      <w:rPr>
        <w:noProof/>
      </w:rPr>
      <w:t>1</w:t>
    </w:r>
    <w:r w:rsidR="00FC6BD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DBE" w:rsidRDefault="009C5DBE" w:rsidP="009F0C77">
      <w:r>
        <w:separator/>
      </w:r>
    </w:p>
  </w:footnote>
  <w:footnote w:type="continuationSeparator" w:id="0">
    <w:p w:rsidR="009C5DBE" w:rsidRDefault="009C5D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37AHB11"/>
    <w:docVar w:name="CoverBillType" w:val="b"/>
    <w:docVar w:name="docpath" w:val="L:\Council\bills\MS\7037AHB11.DOCX"/>
    <w:docVar w:name="dvBillNumber" w:val="164"/>
    <w:docVar w:name="dvBillNumberPrefix" w:val="S. "/>
    <w:docVar w:name="dvOriginalBody" w:val="Senate"/>
    <w:docVar w:name="dvSteno" w:val="MS"/>
    <w:docVar w:name="NameofBody" w:val="s"/>
    <w:docVar w:name="vgroup2" w:val="Council"/>
  </w:docVars>
  <w:rsids>
    <w:rsidRoot w:val="00196794"/>
    <w:rsid w:val="000263D9"/>
    <w:rsid w:val="00026C9A"/>
    <w:rsid w:val="000323CC"/>
    <w:rsid w:val="000346B1"/>
    <w:rsid w:val="000965A1"/>
    <w:rsid w:val="000E1785"/>
    <w:rsid w:val="001023A4"/>
    <w:rsid w:val="0010776B"/>
    <w:rsid w:val="00133E66"/>
    <w:rsid w:val="00134ACF"/>
    <w:rsid w:val="00144E15"/>
    <w:rsid w:val="0019093C"/>
    <w:rsid w:val="00196794"/>
    <w:rsid w:val="001A28ED"/>
    <w:rsid w:val="001A4A62"/>
    <w:rsid w:val="001A681E"/>
    <w:rsid w:val="001D08F2"/>
    <w:rsid w:val="002037CA"/>
    <w:rsid w:val="002047A2"/>
    <w:rsid w:val="00215F5B"/>
    <w:rsid w:val="002321B6"/>
    <w:rsid w:val="002352AF"/>
    <w:rsid w:val="0023696B"/>
    <w:rsid w:val="00250967"/>
    <w:rsid w:val="002759C5"/>
    <w:rsid w:val="00277DEE"/>
    <w:rsid w:val="00280D88"/>
    <w:rsid w:val="002830EF"/>
    <w:rsid w:val="00294ABE"/>
    <w:rsid w:val="002A3EB4"/>
    <w:rsid w:val="002E0D2E"/>
    <w:rsid w:val="0030630C"/>
    <w:rsid w:val="00325348"/>
    <w:rsid w:val="00393688"/>
    <w:rsid w:val="003D411E"/>
    <w:rsid w:val="003E3C1E"/>
    <w:rsid w:val="003E6148"/>
    <w:rsid w:val="00400EAA"/>
    <w:rsid w:val="0041760A"/>
    <w:rsid w:val="004809EE"/>
    <w:rsid w:val="004D21E5"/>
    <w:rsid w:val="00511EE9"/>
    <w:rsid w:val="00521E00"/>
    <w:rsid w:val="00577C6C"/>
    <w:rsid w:val="00581353"/>
    <w:rsid w:val="0058501B"/>
    <w:rsid w:val="005F4122"/>
    <w:rsid w:val="00603075"/>
    <w:rsid w:val="006215AA"/>
    <w:rsid w:val="006340D9"/>
    <w:rsid w:val="00643B8E"/>
    <w:rsid w:val="00660D4B"/>
    <w:rsid w:val="00665EBC"/>
    <w:rsid w:val="0069470D"/>
    <w:rsid w:val="006A476C"/>
    <w:rsid w:val="006C6A93"/>
    <w:rsid w:val="006E02F9"/>
    <w:rsid w:val="00753C04"/>
    <w:rsid w:val="00756946"/>
    <w:rsid w:val="00757A85"/>
    <w:rsid w:val="00757F80"/>
    <w:rsid w:val="00771EEC"/>
    <w:rsid w:val="00786819"/>
    <w:rsid w:val="007A325A"/>
    <w:rsid w:val="007F1523"/>
    <w:rsid w:val="007F509E"/>
    <w:rsid w:val="007F5799"/>
    <w:rsid w:val="007F6947"/>
    <w:rsid w:val="0082620A"/>
    <w:rsid w:val="00837A53"/>
    <w:rsid w:val="00872729"/>
    <w:rsid w:val="008F4429"/>
    <w:rsid w:val="009352BB"/>
    <w:rsid w:val="00990668"/>
    <w:rsid w:val="009C5DBE"/>
    <w:rsid w:val="009D7EA4"/>
    <w:rsid w:val="009F0C77"/>
    <w:rsid w:val="009F4DD1"/>
    <w:rsid w:val="00A64E80"/>
    <w:rsid w:val="00A70E14"/>
    <w:rsid w:val="00A741D9"/>
    <w:rsid w:val="00A9741D"/>
    <w:rsid w:val="00AA175E"/>
    <w:rsid w:val="00AA6AD4"/>
    <w:rsid w:val="00AD4B17"/>
    <w:rsid w:val="00AE18D3"/>
    <w:rsid w:val="00AF70E1"/>
    <w:rsid w:val="00B26FA6"/>
    <w:rsid w:val="00B741CB"/>
    <w:rsid w:val="00B934F3"/>
    <w:rsid w:val="00BB6347"/>
    <w:rsid w:val="00BD2134"/>
    <w:rsid w:val="00C038D8"/>
    <w:rsid w:val="00C045DD"/>
    <w:rsid w:val="00C3136F"/>
    <w:rsid w:val="00C3483A"/>
    <w:rsid w:val="00C74E9D"/>
    <w:rsid w:val="00C776BF"/>
    <w:rsid w:val="00C82FD3"/>
    <w:rsid w:val="00C94C11"/>
    <w:rsid w:val="00CC6B7B"/>
    <w:rsid w:val="00CD3619"/>
    <w:rsid w:val="00CF4447"/>
    <w:rsid w:val="00D405E7"/>
    <w:rsid w:val="00D41D56"/>
    <w:rsid w:val="00D57E1D"/>
    <w:rsid w:val="00D6260D"/>
    <w:rsid w:val="00D6662B"/>
    <w:rsid w:val="00D938C2"/>
    <w:rsid w:val="00D95E2F"/>
    <w:rsid w:val="00D970A9"/>
    <w:rsid w:val="00DB3AC0"/>
    <w:rsid w:val="00DE68F0"/>
    <w:rsid w:val="00DF3845"/>
    <w:rsid w:val="00DF7E17"/>
    <w:rsid w:val="00E30E15"/>
    <w:rsid w:val="00EB00A2"/>
    <w:rsid w:val="00EB1BF3"/>
    <w:rsid w:val="00EF3EEE"/>
    <w:rsid w:val="00F149A7"/>
    <w:rsid w:val="00F50BAF"/>
    <w:rsid w:val="00F52C10"/>
    <w:rsid w:val="00F70071"/>
    <w:rsid w:val="00F81FFD"/>
    <w:rsid w:val="00F85228"/>
    <w:rsid w:val="00FA23B2"/>
    <w:rsid w:val="00FB6773"/>
    <w:rsid w:val="00FC6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87575A-CB60-468B-99BF-E25C4F720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6AD4"/>
    <w:rPr>
      <w:rFonts w:ascii="Tahoma" w:hAnsi="Tahoma" w:cs="Tahoma"/>
      <w:sz w:val="16"/>
      <w:szCs w:val="16"/>
    </w:rPr>
  </w:style>
  <w:style w:type="character" w:customStyle="1" w:styleId="BalloonTextChar">
    <w:name w:val="Balloon Text Char"/>
    <w:basedOn w:val="DefaultParagraphFont"/>
    <w:link w:val="BalloonText"/>
    <w:uiPriority w:val="99"/>
    <w:semiHidden/>
    <w:rsid w:val="00AA6AD4"/>
    <w:rPr>
      <w:rFonts w:ascii="Tahoma" w:eastAsia="Times New Roman" w:hAnsi="Tahoma" w:cs="Tahoma"/>
      <w:sz w:val="16"/>
      <w:szCs w:val="16"/>
    </w:rPr>
  </w:style>
  <w:style w:type="character" w:styleId="Hyperlink">
    <w:name w:val="Hyperlink"/>
    <w:basedOn w:val="DefaultParagraphFont"/>
    <w:uiPriority w:val="99"/>
    <w:unhideWhenUsed/>
    <w:rsid w:val="001909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64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8BA97-0A1C-4C39-8F9E-A126868D9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501</Words>
  <Characters>2616</Characters>
  <Application>Microsoft Office Word</Application>
  <DocSecurity>4</DocSecurity>
  <Lines>91</Lines>
  <Paragraphs>30</Paragraphs>
  <ScaleCrop>false</ScaleCrop>
  <Company> </Company>
  <LinksUpToDate>false</LinksUpToDate>
  <CharactersWithSpaces>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164: Definition of person - South Carolina Legislature Online</dc:title>
  <dc:subject/>
  <dc:creator>MarthaSanders</dc:creator>
  <cp:keywords/>
  <dc:description/>
  <cp:lastModifiedBy>N Cumfer</cp:lastModifiedBy>
  <cp:revision>2</cp:revision>
  <cp:lastPrinted>2010-11-16T15:53:00Z</cp:lastPrinted>
  <dcterms:created xsi:type="dcterms:W3CDTF">2014-11-21T20:30:00Z</dcterms:created>
  <dcterms:modified xsi:type="dcterms:W3CDTF">2014-11-21T20:30:00Z</dcterms:modified>
</cp:coreProperties>
</file>