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AFD" w:rsidRDefault="00143AFD" w:rsidP="00143AFD">
      <w:pPr>
        <w:widowControl w:val="0"/>
        <w:jc w:val="center"/>
      </w:pPr>
      <w:bookmarkStart w:id="0" w:name="_GoBack"/>
      <w:bookmarkEnd w:id="0"/>
      <w:r w:rsidRPr="00143AFD">
        <w:rPr>
          <w:b/>
        </w:rPr>
        <w:t>South Carolina General Assembly</w:t>
      </w:r>
    </w:p>
    <w:p w:rsidR="00143AFD" w:rsidRDefault="00143AFD" w:rsidP="00143AFD">
      <w:pPr>
        <w:widowControl w:val="0"/>
        <w:jc w:val="center"/>
      </w:pPr>
      <w:r>
        <w:t>119th Session, 2011-2012</w:t>
      </w:r>
    </w:p>
    <w:p w:rsidR="00143AFD" w:rsidRDefault="00143AFD" w:rsidP="00143AFD">
      <w:pPr>
        <w:widowControl w:val="0"/>
        <w:jc w:val="left"/>
      </w:pPr>
    </w:p>
    <w:p w:rsidR="00143AFD" w:rsidRDefault="00143AFD" w:rsidP="00143AFD">
      <w:pPr>
        <w:widowControl w:val="0"/>
        <w:jc w:val="left"/>
        <w:rPr>
          <w:b/>
        </w:rPr>
      </w:pPr>
      <w:r w:rsidRPr="00143AFD">
        <w:rPr>
          <w:b/>
        </w:rPr>
        <w:t>H. 4802</w:t>
      </w:r>
    </w:p>
    <w:p w:rsidR="00143AFD" w:rsidRDefault="00143AFD" w:rsidP="00143AFD">
      <w:pPr>
        <w:widowControl w:val="0"/>
        <w:jc w:val="left"/>
        <w:rPr>
          <w:b/>
        </w:rPr>
      </w:pPr>
    </w:p>
    <w:p w:rsidR="00143AFD" w:rsidRDefault="00143AFD" w:rsidP="00143AFD">
      <w:pPr>
        <w:widowControl w:val="0"/>
        <w:jc w:val="left"/>
      </w:pPr>
      <w:r w:rsidRPr="00143AFD">
        <w:rPr>
          <w:b/>
        </w:rPr>
        <w:t>STATUS INFORMATION</w:t>
      </w:r>
    </w:p>
    <w:p w:rsidR="00143AFD" w:rsidRDefault="00143AFD" w:rsidP="00143AFD">
      <w:pPr>
        <w:widowControl w:val="0"/>
        <w:jc w:val="left"/>
      </w:pPr>
    </w:p>
    <w:p w:rsidR="00143AFD" w:rsidRDefault="00143AFD" w:rsidP="00143AFD">
      <w:pPr>
        <w:widowControl w:val="0"/>
        <w:jc w:val="left"/>
      </w:pPr>
      <w:r>
        <w:t>General Bill</w:t>
      </w:r>
    </w:p>
    <w:p w:rsidR="00143AFD" w:rsidRDefault="00B67DD7" w:rsidP="00143AFD">
      <w:pPr>
        <w:widowControl w:val="0"/>
        <w:jc w:val="left"/>
      </w:pPr>
      <w:r>
        <w:t>Sponsors: Reps. J.E. Smith, Quinn, Munnerlyn, Williams, Jefferson, Johnson, McEachern, Brannon, Dillard, McLeod, Stavrinakis, Sellers, Sabb, Brady, Ott, Vick, H.B. Brown, Branham, Bingham, Bowers, Cobb</w:t>
      </w:r>
      <w:r>
        <w:noBreakHyphen/>
        <w:t>Hunter, Erickson, Harrison, Hart, Hayes, Herbkersman, Merrill, J.H. Neal, Pitts, G.M. Smith, Whipper and Anderson</w:t>
      </w:r>
    </w:p>
    <w:p w:rsidR="00143AFD" w:rsidRDefault="00143AFD" w:rsidP="00143AFD">
      <w:pPr>
        <w:widowControl w:val="0"/>
        <w:jc w:val="left"/>
      </w:pPr>
      <w:r>
        <w:t>Document Path: l:\council\bills\dka\3954sd12.docx</w:t>
      </w:r>
    </w:p>
    <w:p w:rsidR="00FB6015" w:rsidRDefault="00FB6015" w:rsidP="00143AFD">
      <w:pPr>
        <w:widowControl w:val="0"/>
        <w:jc w:val="left"/>
      </w:pPr>
      <w:r>
        <w:t>Companion/Similar bill(s): 1330</w:t>
      </w:r>
    </w:p>
    <w:p w:rsidR="00143AFD" w:rsidRDefault="00143AFD" w:rsidP="00143AFD">
      <w:pPr>
        <w:widowControl w:val="0"/>
        <w:jc w:val="left"/>
      </w:pPr>
    </w:p>
    <w:p w:rsidR="00551B78" w:rsidRDefault="00551B78" w:rsidP="00143AFD">
      <w:pPr>
        <w:widowControl w:val="0"/>
        <w:jc w:val="left"/>
      </w:pPr>
      <w:r>
        <w:t>Introduced in the House on February 22, 2012</w:t>
      </w:r>
    </w:p>
    <w:p w:rsidR="00551B78" w:rsidRDefault="00551B78" w:rsidP="00143AFD">
      <w:pPr>
        <w:widowControl w:val="0"/>
        <w:jc w:val="left"/>
      </w:pPr>
      <w:r>
        <w:t>Introduced in the Senate on May 1, 2012</w:t>
      </w:r>
    </w:p>
    <w:p w:rsidR="00551B78" w:rsidRDefault="00551B78" w:rsidP="00143AFD">
      <w:pPr>
        <w:widowControl w:val="0"/>
        <w:jc w:val="left"/>
      </w:pPr>
      <w:r>
        <w:t>Currently residing in the Senate</w:t>
      </w:r>
    </w:p>
    <w:p w:rsidR="00551B78" w:rsidRDefault="00551B78" w:rsidP="00143AFD">
      <w:pPr>
        <w:widowControl w:val="0"/>
        <w:jc w:val="left"/>
      </w:pPr>
    </w:p>
    <w:p w:rsidR="00143AFD" w:rsidRDefault="00143AFD" w:rsidP="00143AFD">
      <w:pPr>
        <w:widowControl w:val="0"/>
        <w:jc w:val="left"/>
      </w:pPr>
      <w:r>
        <w:t xml:space="preserve">Summary: </w:t>
      </w:r>
      <w:r w:rsidR="00A13B87">
        <w:t>Abandoned Buildings Revitalization Act</w:t>
      </w:r>
    </w:p>
    <w:p w:rsidR="00143AFD" w:rsidRDefault="00143AFD" w:rsidP="00143AFD">
      <w:pPr>
        <w:widowControl w:val="0"/>
        <w:jc w:val="left"/>
      </w:pPr>
    </w:p>
    <w:p w:rsidR="00143AFD" w:rsidRDefault="00143AFD" w:rsidP="00143AFD">
      <w:pPr>
        <w:widowControl w:val="0"/>
        <w:jc w:val="left"/>
      </w:pPr>
    </w:p>
    <w:p w:rsidR="00143AFD" w:rsidRDefault="00143AFD" w:rsidP="00143AFD">
      <w:pPr>
        <w:widowControl w:val="0"/>
        <w:tabs>
          <w:tab w:val="center" w:pos="590"/>
          <w:tab w:val="center" w:pos="1440"/>
          <w:tab w:val="left" w:pos="1872"/>
          <w:tab w:val="left" w:pos="9187"/>
        </w:tabs>
        <w:jc w:val="left"/>
      </w:pPr>
      <w:r w:rsidRPr="00143AFD">
        <w:rPr>
          <w:b/>
        </w:rPr>
        <w:t>HISTORY OF LEGISLATIVE ACTIONS</w:t>
      </w:r>
    </w:p>
    <w:p w:rsidR="00143AFD" w:rsidRDefault="00143AFD" w:rsidP="00143AFD">
      <w:pPr>
        <w:widowControl w:val="0"/>
        <w:tabs>
          <w:tab w:val="center" w:pos="590"/>
          <w:tab w:val="center" w:pos="1440"/>
          <w:tab w:val="left" w:pos="1872"/>
          <w:tab w:val="left" w:pos="9187"/>
        </w:tabs>
        <w:jc w:val="left"/>
      </w:pPr>
    </w:p>
    <w:p w:rsidR="00143AFD" w:rsidRPr="00143AFD" w:rsidRDefault="00143AFD" w:rsidP="00143AFD">
      <w:pPr>
        <w:widowControl w:val="0"/>
        <w:tabs>
          <w:tab w:val="center" w:pos="590"/>
          <w:tab w:val="center" w:pos="1440"/>
          <w:tab w:val="left" w:pos="1872"/>
          <w:tab w:val="left" w:pos="9187"/>
        </w:tabs>
        <w:jc w:val="left"/>
      </w:pPr>
      <w:r w:rsidRPr="00143AFD">
        <w:rPr>
          <w:u w:val="single"/>
        </w:rPr>
        <w:tab/>
        <w:t>Date</w:t>
      </w:r>
      <w:r w:rsidRPr="00143AFD">
        <w:rPr>
          <w:u w:val="single"/>
        </w:rPr>
        <w:tab/>
        <w:t>Body</w:t>
      </w:r>
      <w:r w:rsidRPr="00143AFD">
        <w:rPr>
          <w:u w:val="single"/>
        </w:rPr>
        <w:tab/>
        <w:t>Action Description with journal page number</w:t>
      </w:r>
      <w:r w:rsidRPr="00143AFD">
        <w:rPr>
          <w:u w:val="single"/>
        </w:rPr>
        <w:tab/>
      </w:r>
    </w:p>
    <w:p w:rsidR="000507FF" w:rsidRDefault="000507FF" w:rsidP="000507FF">
      <w:pPr>
        <w:widowControl w:val="0"/>
        <w:tabs>
          <w:tab w:val="right" w:pos="1008"/>
          <w:tab w:val="left" w:pos="1152"/>
          <w:tab w:val="left" w:pos="1872"/>
          <w:tab w:val="left" w:pos="9187"/>
        </w:tabs>
        <w:ind w:left="2088" w:hanging="2088"/>
        <w:jc w:val="left"/>
      </w:pPr>
      <w:r>
        <w:tab/>
        <w:t>2/22/2012</w:t>
      </w:r>
      <w:r>
        <w:tab/>
        <w:t>House</w:t>
      </w:r>
      <w:r>
        <w:tab/>
      </w:r>
      <w:r w:rsidRPr="00150310">
        <w:t>Introduced and read first time (</w:t>
      </w:r>
      <w:hyperlink r:id="rId7" w:history="1">
        <w:r w:rsidRPr="00150310">
          <w:rPr>
            <w:rStyle w:val="Hyperlink"/>
          </w:rPr>
          <w:t>House Journal</w:t>
        </w:r>
        <w:r w:rsidRPr="00150310">
          <w:rPr>
            <w:rStyle w:val="Hyperlink"/>
          </w:rPr>
          <w:noBreakHyphen/>
          <w:t>page 127</w:t>
        </w:r>
      </w:hyperlink>
      <w:r w:rsidRPr="00150310">
        <w:t>)</w:t>
      </w:r>
    </w:p>
    <w:p w:rsidR="000507FF" w:rsidRDefault="000507FF" w:rsidP="000507FF">
      <w:pPr>
        <w:widowControl w:val="0"/>
        <w:tabs>
          <w:tab w:val="right" w:pos="1008"/>
          <w:tab w:val="left" w:pos="1152"/>
          <w:tab w:val="left" w:pos="1872"/>
          <w:tab w:val="left" w:pos="9187"/>
        </w:tabs>
        <w:ind w:left="2088" w:hanging="2088"/>
        <w:jc w:val="left"/>
      </w:pPr>
      <w:r>
        <w:tab/>
        <w:t>2/22/2012</w:t>
      </w:r>
      <w:r>
        <w:tab/>
        <w:t>House</w:t>
      </w:r>
      <w:r>
        <w:tab/>
      </w:r>
      <w:r w:rsidRPr="00150310">
        <w:t>Referred</w:t>
      </w:r>
      <w:r>
        <w:t xml:space="preserve"> to Committee on </w:t>
      </w:r>
      <w:r w:rsidRPr="00150310">
        <w:rPr>
          <w:b/>
        </w:rPr>
        <w:t>Ways and Means</w:t>
      </w:r>
      <w:r>
        <w:t xml:space="preserve"> </w:t>
      </w:r>
      <w:r w:rsidRPr="00150310">
        <w:t>(</w:t>
      </w:r>
      <w:hyperlink r:id="rId8" w:history="1">
        <w:r w:rsidRPr="00150310">
          <w:rPr>
            <w:rStyle w:val="Hyperlink"/>
          </w:rPr>
          <w:t>House Journal</w:t>
        </w:r>
        <w:r w:rsidRPr="00150310">
          <w:rPr>
            <w:rStyle w:val="Hyperlink"/>
          </w:rPr>
          <w:noBreakHyphen/>
          <w:t>page 127</w:t>
        </w:r>
      </w:hyperlink>
      <w:r w:rsidRPr="00150310">
        <w:t>)</w:t>
      </w:r>
    </w:p>
    <w:p w:rsidR="000507FF" w:rsidRDefault="000507FF" w:rsidP="000507FF">
      <w:pPr>
        <w:widowControl w:val="0"/>
        <w:tabs>
          <w:tab w:val="right" w:pos="1008"/>
          <w:tab w:val="left" w:pos="1152"/>
          <w:tab w:val="left" w:pos="1872"/>
          <w:tab w:val="left" w:pos="9187"/>
        </w:tabs>
        <w:ind w:left="2088" w:hanging="2088"/>
        <w:jc w:val="left"/>
      </w:pPr>
      <w:r>
        <w:tab/>
        <w:t>3/28/2012</w:t>
      </w:r>
      <w:r>
        <w:tab/>
        <w:t>House</w:t>
      </w:r>
      <w:r>
        <w:tab/>
      </w:r>
      <w:r w:rsidRPr="00150310">
        <w:t>Committee r</w:t>
      </w:r>
      <w:r>
        <w:t xml:space="preserve">eport: Favorable </w:t>
      </w:r>
      <w:r w:rsidRPr="00150310">
        <w:rPr>
          <w:b/>
        </w:rPr>
        <w:t>Ways and Means</w:t>
      </w:r>
      <w:r>
        <w:t xml:space="preserve"> </w:t>
      </w:r>
      <w:r w:rsidRPr="00150310">
        <w:t>(</w:t>
      </w:r>
      <w:hyperlink r:id="rId9" w:history="1">
        <w:r w:rsidRPr="00150310">
          <w:rPr>
            <w:rStyle w:val="Hyperlink"/>
          </w:rPr>
          <w:t>House Journal</w:t>
        </w:r>
        <w:r w:rsidRPr="00150310">
          <w:rPr>
            <w:rStyle w:val="Hyperlink"/>
          </w:rPr>
          <w:noBreakHyphen/>
          <w:t>page 43</w:t>
        </w:r>
      </w:hyperlink>
      <w:r w:rsidRPr="00150310">
        <w:t>)</w:t>
      </w:r>
    </w:p>
    <w:p w:rsidR="000507FF" w:rsidRDefault="000507FF" w:rsidP="000507FF">
      <w:pPr>
        <w:widowControl w:val="0"/>
        <w:tabs>
          <w:tab w:val="right" w:pos="1008"/>
          <w:tab w:val="left" w:pos="1152"/>
          <w:tab w:val="left" w:pos="1872"/>
          <w:tab w:val="left" w:pos="9187"/>
        </w:tabs>
        <w:ind w:left="2088" w:hanging="2088"/>
        <w:jc w:val="left"/>
      </w:pPr>
      <w:r>
        <w:lastRenderedPageBreak/>
        <w:tab/>
        <w:t>4/24/2012</w:t>
      </w:r>
      <w:r>
        <w:tab/>
        <w:t>House</w:t>
      </w:r>
      <w:r>
        <w:tab/>
      </w:r>
      <w:r w:rsidRPr="00150310">
        <w:t>Member(s) request name added as sponsor: Anderson</w:t>
      </w:r>
    </w:p>
    <w:p w:rsidR="000507FF" w:rsidRDefault="000507FF" w:rsidP="000507FF">
      <w:pPr>
        <w:widowControl w:val="0"/>
        <w:tabs>
          <w:tab w:val="right" w:pos="1008"/>
          <w:tab w:val="left" w:pos="1152"/>
          <w:tab w:val="left" w:pos="1872"/>
          <w:tab w:val="left" w:pos="9187"/>
        </w:tabs>
        <w:ind w:left="2088" w:hanging="2088"/>
        <w:jc w:val="left"/>
      </w:pPr>
      <w:r>
        <w:tab/>
        <w:t>4/24/2012</w:t>
      </w:r>
      <w:r>
        <w:tab/>
        <w:t>House</w:t>
      </w:r>
      <w:r>
        <w:tab/>
      </w:r>
      <w:r w:rsidRPr="00150310">
        <w:t>Requests for deb</w:t>
      </w:r>
      <w:r>
        <w:t>ate</w:t>
      </w:r>
      <w:r>
        <w:noBreakHyphen/>
        <w:t xml:space="preserve">Rep(s). Hamilton, Barfield, </w:t>
      </w:r>
      <w:r w:rsidRPr="00150310">
        <w:t>Bowen, Thayer, Mc</w:t>
      </w:r>
      <w:r>
        <w:t xml:space="preserve">Coy, Corbin, Crawford, Chumley, </w:t>
      </w:r>
      <w:r w:rsidRPr="00150310">
        <w:t>Ballenti</w:t>
      </w:r>
      <w:r>
        <w:t xml:space="preserve">ne, Tallon, Bedingfield, Loftis </w:t>
      </w:r>
      <w:r w:rsidRPr="00150310">
        <w:t>(</w:t>
      </w:r>
      <w:hyperlink r:id="rId10" w:history="1">
        <w:r w:rsidRPr="00150310">
          <w:rPr>
            <w:rStyle w:val="Hyperlink"/>
          </w:rPr>
          <w:t>House Journal</w:t>
        </w:r>
        <w:r w:rsidRPr="00150310">
          <w:rPr>
            <w:rStyle w:val="Hyperlink"/>
          </w:rPr>
          <w:noBreakHyphen/>
          <w:t>page 34</w:t>
        </w:r>
      </w:hyperlink>
      <w:r w:rsidRPr="00150310">
        <w:t>)</w:t>
      </w:r>
    </w:p>
    <w:p w:rsidR="000507FF" w:rsidRDefault="000507FF" w:rsidP="000507FF">
      <w:pPr>
        <w:widowControl w:val="0"/>
        <w:tabs>
          <w:tab w:val="right" w:pos="1008"/>
          <w:tab w:val="left" w:pos="1152"/>
          <w:tab w:val="left" w:pos="1872"/>
          <w:tab w:val="left" w:pos="9187"/>
        </w:tabs>
        <w:ind w:left="2088" w:hanging="2088"/>
        <w:jc w:val="left"/>
      </w:pPr>
      <w:r>
        <w:tab/>
        <w:t>4/24/2012</w:t>
      </w:r>
      <w:r>
        <w:tab/>
        <w:t>House</w:t>
      </w:r>
      <w:r>
        <w:tab/>
      </w:r>
      <w:r w:rsidRPr="00150310">
        <w:t>Debate adjourned</w:t>
      </w:r>
      <w:r>
        <w:t xml:space="preserve"> until Wed., 04</w:t>
      </w:r>
      <w:r>
        <w:noBreakHyphen/>
        <w:t>25</w:t>
      </w:r>
      <w:r>
        <w:noBreakHyphen/>
        <w:t xml:space="preserve">12 </w:t>
      </w:r>
      <w:r w:rsidRPr="00150310">
        <w:t>(</w:t>
      </w:r>
      <w:hyperlink r:id="rId11" w:history="1">
        <w:r w:rsidRPr="00150310">
          <w:rPr>
            <w:rStyle w:val="Hyperlink"/>
          </w:rPr>
          <w:t>House Journal</w:t>
        </w:r>
        <w:r w:rsidRPr="00150310">
          <w:rPr>
            <w:rStyle w:val="Hyperlink"/>
          </w:rPr>
          <w:noBreakHyphen/>
          <w:t>page 67</w:t>
        </w:r>
      </w:hyperlink>
      <w:r w:rsidRPr="00150310">
        <w:t>)</w:t>
      </w:r>
    </w:p>
    <w:p w:rsidR="000507FF" w:rsidRDefault="000507FF" w:rsidP="000507FF">
      <w:pPr>
        <w:widowControl w:val="0"/>
        <w:tabs>
          <w:tab w:val="right" w:pos="1008"/>
          <w:tab w:val="left" w:pos="1152"/>
          <w:tab w:val="left" w:pos="1872"/>
          <w:tab w:val="left" w:pos="9187"/>
        </w:tabs>
        <w:ind w:left="2088" w:hanging="2088"/>
        <w:jc w:val="left"/>
      </w:pPr>
      <w:r>
        <w:tab/>
        <w:t>4/25/2012</w:t>
      </w:r>
      <w:r>
        <w:tab/>
        <w:t>House</w:t>
      </w:r>
      <w:r>
        <w:tab/>
      </w:r>
      <w:r w:rsidRPr="00150310">
        <w:t>Read second time (</w:t>
      </w:r>
      <w:hyperlink r:id="rId12" w:history="1">
        <w:r w:rsidRPr="00150310">
          <w:rPr>
            <w:rStyle w:val="Hyperlink"/>
          </w:rPr>
          <w:t>House Journal</w:t>
        </w:r>
        <w:r w:rsidRPr="00150310">
          <w:rPr>
            <w:rStyle w:val="Hyperlink"/>
          </w:rPr>
          <w:noBreakHyphen/>
          <w:t>page 73</w:t>
        </w:r>
      </w:hyperlink>
      <w:r w:rsidRPr="00150310">
        <w:t>)</w:t>
      </w:r>
    </w:p>
    <w:p w:rsidR="000507FF" w:rsidRDefault="000507FF" w:rsidP="000507FF">
      <w:pPr>
        <w:widowControl w:val="0"/>
        <w:tabs>
          <w:tab w:val="right" w:pos="1008"/>
          <w:tab w:val="left" w:pos="1152"/>
          <w:tab w:val="left" w:pos="1872"/>
          <w:tab w:val="left" w:pos="9187"/>
        </w:tabs>
        <w:ind w:left="2088" w:hanging="2088"/>
        <w:jc w:val="left"/>
      </w:pPr>
      <w:r>
        <w:tab/>
        <w:t>4/25/2012</w:t>
      </w:r>
      <w:r>
        <w:tab/>
        <w:t>House</w:t>
      </w:r>
      <w:r>
        <w:tab/>
      </w:r>
      <w:r w:rsidRPr="00150310">
        <w:t>Roll call Yeas</w:t>
      </w:r>
      <w:r>
        <w:noBreakHyphen/>
      </w:r>
      <w:r w:rsidRPr="00150310">
        <w:t>108  Nays</w:t>
      </w:r>
      <w:r>
        <w:noBreakHyphen/>
      </w:r>
      <w:r w:rsidRPr="00150310">
        <w:t>0 (</w:t>
      </w:r>
      <w:hyperlink r:id="rId13" w:history="1">
        <w:r w:rsidRPr="00150310">
          <w:rPr>
            <w:rStyle w:val="Hyperlink"/>
          </w:rPr>
          <w:t>House Journal</w:t>
        </w:r>
        <w:r w:rsidRPr="00150310">
          <w:rPr>
            <w:rStyle w:val="Hyperlink"/>
          </w:rPr>
          <w:noBreakHyphen/>
          <w:t>page 74</w:t>
        </w:r>
      </w:hyperlink>
      <w:r w:rsidRPr="00150310">
        <w:t>)</w:t>
      </w:r>
    </w:p>
    <w:p w:rsidR="000507FF" w:rsidRDefault="000507FF" w:rsidP="000507FF">
      <w:pPr>
        <w:widowControl w:val="0"/>
        <w:tabs>
          <w:tab w:val="right" w:pos="1008"/>
          <w:tab w:val="left" w:pos="1152"/>
          <w:tab w:val="left" w:pos="1872"/>
          <w:tab w:val="left" w:pos="9187"/>
        </w:tabs>
        <w:ind w:left="2088" w:hanging="2088"/>
        <w:jc w:val="left"/>
      </w:pPr>
      <w:r>
        <w:tab/>
        <w:t>4/26/2012</w:t>
      </w:r>
      <w:r>
        <w:tab/>
        <w:t>House</w:t>
      </w:r>
      <w:r>
        <w:tab/>
      </w:r>
      <w:r w:rsidRPr="00150310">
        <w:t>Read third time and sent to Sen</w:t>
      </w:r>
      <w:r>
        <w:t xml:space="preserve">ate </w:t>
      </w:r>
      <w:r w:rsidRPr="00150310">
        <w:t>(</w:t>
      </w:r>
      <w:hyperlink r:id="rId14" w:history="1">
        <w:r w:rsidRPr="00150310">
          <w:rPr>
            <w:rStyle w:val="Hyperlink"/>
          </w:rPr>
          <w:t>House Journal</w:t>
        </w:r>
        <w:r w:rsidRPr="00150310">
          <w:rPr>
            <w:rStyle w:val="Hyperlink"/>
          </w:rPr>
          <w:noBreakHyphen/>
          <w:t>page 75</w:t>
        </w:r>
      </w:hyperlink>
      <w:r w:rsidRPr="00150310">
        <w:t>)</w:t>
      </w:r>
    </w:p>
    <w:p w:rsidR="000507FF" w:rsidRDefault="000507FF" w:rsidP="000507FF">
      <w:pPr>
        <w:widowControl w:val="0"/>
        <w:tabs>
          <w:tab w:val="right" w:pos="1008"/>
          <w:tab w:val="left" w:pos="1152"/>
          <w:tab w:val="left" w:pos="1872"/>
          <w:tab w:val="left" w:pos="9187"/>
        </w:tabs>
        <w:ind w:left="2088" w:hanging="2088"/>
        <w:jc w:val="left"/>
      </w:pPr>
      <w:r>
        <w:tab/>
        <w:t>5/1/2012</w:t>
      </w:r>
      <w:r>
        <w:tab/>
        <w:t>Senate</w:t>
      </w:r>
      <w:r>
        <w:tab/>
      </w:r>
      <w:r w:rsidRPr="00150310">
        <w:t>Introduced and read first time (</w:t>
      </w:r>
      <w:hyperlink r:id="rId15" w:history="1">
        <w:r w:rsidRPr="00150310">
          <w:rPr>
            <w:rStyle w:val="Hyperlink"/>
          </w:rPr>
          <w:t>Senate Journal</w:t>
        </w:r>
        <w:r w:rsidRPr="00150310">
          <w:rPr>
            <w:rStyle w:val="Hyperlink"/>
          </w:rPr>
          <w:noBreakHyphen/>
          <w:t>page 10</w:t>
        </w:r>
      </w:hyperlink>
      <w:r w:rsidRPr="00150310">
        <w:t>)</w:t>
      </w:r>
    </w:p>
    <w:p w:rsidR="000507FF" w:rsidRDefault="000507FF" w:rsidP="000507FF">
      <w:pPr>
        <w:widowControl w:val="0"/>
        <w:tabs>
          <w:tab w:val="right" w:pos="1008"/>
          <w:tab w:val="left" w:pos="1152"/>
          <w:tab w:val="left" w:pos="1872"/>
          <w:tab w:val="left" w:pos="9187"/>
        </w:tabs>
        <w:ind w:left="2088" w:hanging="2088"/>
        <w:jc w:val="left"/>
      </w:pPr>
      <w:r>
        <w:tab/>
        <w:t>5/1/2012</w:t>
      </w:r>
      <w:r>
        <w:tab/>
        <w:t>Senate</w:t>
      </w:r>
      <w:r>
        <w:tab/>
      </w:r>
      <w:r w:rsidRPr="00150310">
        <w:t>R</w:t>
      </w:r>
      <w:r>
        <w:t xml:space="preserve">eferred to Committee on </w:t>
      </w:r>
      <w:r w:rsidRPr="00150310">
        <w:rPr>
          <w:b/>
        </w:rPr>
        <w:t>Finance</w:t>
      </w:r>
      <w:r>
        <w:t xml:space="preserve"> </w:t>
      </w:r>
      <w:r w:rsidRPr="00150310">
        <w:t>(</w:t>
      </w:r>
      <w:hyperlink r:id="rId16" w:history="1">
        <w:r w:rsidRPr="00150310">
          <w:rPr>
            <w:rStyle w:val="Hyperlink"/>
          </w:rPr>
          <w:t>Senate Journal</w:t>
        </w:r>
        <w:r w:rsidRPr="00150310">
          <w:rPr>
            <w:rStyle w:val="Hyperlink"/>
          </w:rPr>
          <w:noBreakHyphen/>
          <w:t>page 10</w:t>
        </w:r>
      </w:hyperlink>
      <w:r w:rsidRPr="00150310">
        <w:t>)</w:t>
      </w:r>
    </w:p>
    <w:p w:rsidR="000507FF" w:rsidRDefault="000507FF" w:rsidP="000507FF">
      <w:pPr>
        <w:widowControl w:val="0"/>
        <w:tabs>
          <w:tab w:val="right" w:pos="1008"/>
          <w:tab w:val="left" w:pos="1152"/>
          <w:tab w:val="left" w:pos="1872"/>
          <w:tab w:val="left" w:pos="9187"/>
        </w:tabs>
        <w:ind w:left="2088" w:hanging="2088"/>
        <w:jc w:val="left"/>
      </w:pPr>
      <w:r>
        <w:tab/>
        <w:t>5/30/2012</w:t>
      </w:r>
      <w:r>
        <w:tab/>
        <w:t>Senate</w:t>
      </w:r>
      <w:r>
        <w:tab/>
      </w:r>
      <w:r w:rsidRPr="00150310">
        <w:t>Committee r</w:t>
      </w:r>
      <w:r>
        <w:t xml:space="preserve">eport: Favorable with amendment </w:t>
      </w:r>
      <w:r w:rsidRPr="00150310">
        <w:rPr>
          <w:b/>
        </w:rPr>
        <w:t>Finance</w:t>
      </w:r>
      <w:r w:rsidRPr="00150310">
        <w:t xml:space="preserve"> (</w:t>
      </w:r>
      <w:hyperlink r:id="rId17" w:history="1">
        <w:r w:rsidRPr="00150310">
          <w:rPr>
            <w:rStyle w:val="Hyperlink"/>
          </w:rPr>
          <w:t>Senate Journal</w:t>
        </w:r>
        <w:r w:rsidRPr="00150310">
          <w:rPr>
            <w:rStyle w:val="Hyperlink"/>
          </w:rPr>
          <w:noBreakHyphen/>
          <w:t>page 15</w:t>
        </w:r>
      </w:hyperlink>
      <w:r w:rsidRPr="00150310">
        <w:t>)</w:t>
      </w:r>
    </w:p>
    <w:p w:rsidR="000507FF" w:rsidRDefault="000507FF" w:rsidP="000507FF">
      <w:pPr>
        <w:widowControl w:val="0"/>
        <w:tabs>
          <w:tab w:val="right" w:pos="1008"/>
          <w:tab w:val="left" w:pos="1152"/>
          <w:tab w:val="left" w:pos="1872"/>
          <w:tab w:val="left" w:pos="9187"/>
        </w:tabs>
        <w:ind w:left="2088" w:hanging="2088"/>
        <w:jc w:val="left"/>
      </w:pPr>
    </w:p>
    <w:p w:rsidR="00143AFD" w:rsidRPr="00143AFD" w:rsidRDefault="00143AFD" w:rsidP="00143AFD">
      <w:pPr>
        <w:widowControl w:val="0"/>
        <w:tabs>
          <w:tab w:val="right" w:pos="1008"/>
          <w:tab w:val="left" w:pos="1152"/>
          <w:tab w:val="left" w:pos="1872"/>
          <w:tab w:val="left" w:pos="9187"/>
        </w:tabs>
        <w:ind w:left="2088" w:hanging="2088"/>
        <w:jc w:val="left"/>
      </w:pPr>
    </w:p>
    <w:p w:rsidR="00143AFD" w:rsidRDefault="00143AFD" w:rsidP="00143AFD">
      <w:pPr>
        <w:widowControl w:val="0"/>
        <w:jc w:val="left"/>
      </w:pPr>
      <w:r w:rsidRPr="00143AFD">
        <w:rPr>
          <w:b/>
        </w:rPr>
        <w:t>VERSIONS OF THIS BILL</w:t>
      </w:r>
    </w:p>
    <w:p w:rsidR="00143AFD" w:rsidRDefault="00143AFD" w:rsidP="00143AFD">
      <w:pPr>
        <w:widowControl w:val="0"/>
        <w:jc w:val="left"/>
      </w:pPr>
    </w:p>
    <w:p w:rsidR="00143AFD" w:rsidRDefault="00ED1A88" w:rsidP="00143AFD">
      <w:pPr>
        <w:widowControl w:val="0"/>
        <w:jc w:val="left"/>
      </w:pPr>
      <w:hyperlink r:id="rId18" w:history="1">
        <w:r w:rsidR="00143AFD">
          <w:rPr>
            <w:rStyle w:val="Hyperlink"/>
          </w:rPr>
          <w:t>2/22/2012</w:t>
        </w:r>
      </w:hyperlink>
    </w:p>
    <w:p w:rsidR="009A2AF9" w:rsidRDefault="00ED1A88" w:rsidP="00143AFD">
      <w:hyperlink r:id="rId19" w:history="1">
        <w:r w:rsidR="009A2AF9" w:rsidRPr="009A2AF9">
          <w:rPr>
            <w:rStyle w:val="Hyperlink"/>
          </w:rPr>
          <w:t>3/28/2012</w:t>
        </w:r>
      </w:hyperlink>
    </w:p>
    <w:p w:rsidR="0069507C" w:rsidRDefault="00ED1A88" w:rsidP="00143AFD">
      <w:hyperlink r:id="rId20" w:history="1">
        <w:r w:rsidR="0069507C" w:rsidRPr="0069507C">
          <w:rPr>
            <w:rStyle w:val="Hyperlink"/>
          </w:rPr>
          <w:t>5/30/2012</w:t>
        </w:r>
      </w:hyperlink>
    </w:p>
    <w:p w:rsidR="00143AFD" w:rsidRDefault="00143AFD" w:rsidP="00143AFD"/>
    <w:p w:rsidR="00143AFD" w:rsidRDefault="00143AFD" w:rsidP="00143AFD">
      <w:pPr>
        <w:sectPr w:rsidR="00143AFD" w:rsidSect="00143AFD">
          <w:pgSz w:w="12240" w:h="15840" w:code="1"/>
          <w:pgMar w:top="1080" w:right="1440" w:bottom="1080" w:left="1440" w:header="720" w:footer="720" w:gutter="0"/>
          <w:cols w:space="720"/>
          <w:noEndnote/>
          <w:docGrid w:linePitch="360"/>
        </w:sectPr>
      </w:pPr>
    </w:p>
    <w:p w:rsidR="0069507C" w:rsidRDefault="0069507C" w:rsidP="000645EF">
      <w:pPr>
        <w:pStyle w:val="BillDots"/>
      </w:pPr>
      <w:r>
        <w:lastRenderedPageBreak/>
        <w:t>COMMITTEE REPORT</w:t>
      </w:r>
    </w:p>
    <w:p w:rsidR="0069507C" w:rsidRDefault="0069507C" w:rsidP="000645EF">
      <w:pPr>
        <w:pStyle w:val="BillDots"/>
      </w:pPr>
      <w:r>
        <w:t>May 30, 2012</w:t>
      </w:r>
    </w:p>
    <w:p w:rsidR="0069507C" w:rsidRDefault="0069507C" w:rsidP="000645EF">
      <w:pPr>
        <w:pStyle w:val="BillDots"/>
      </w:pPr>
    </w:p>
    <w:p w:rsidR="0069507C" w:rsidRPr="009D47C9" w:rsidRDefault="0069507C" w:rsidP="009D47C9">
      <w:pPr>
        <w:pStyle w:val="BillDots"/>
        <w:tabs>
          <w:tab w:val="clear" w:pos="216"/>
          <w:tab w:val="clear" w:pos="432"/>
          <w:tab w:val="clear" w:pos="648"/>
          <w:tab w:val="clear" w:pos="864"/>
          <w:tab w:val="clear" w:pos="1080"/>
          <w:tab w:val="clear" w:pos="1296"/>
          <w:tab w:val="clear" w:pos="5904"/>
          <w:tab w:val="right" w:pos="5933"/>
        </w:tabs>
      </w:pPr>
      <w:r>
        <w:tab/>
      </w:r>
      <w:r>
        <w:rPr>
          <w:b/>
          <w:sz w:val="36"/>
        </w:rPr>
        <w:t>H. 4802</w:t>
      </w:r>
    </w:p>
    <w:p w:rsidR="0069507C" w:rsidRDefault="0069507C" w:rsidP="000645EF">
      <w:pPr>
        <w:pStyle w:val="BillDots"/>
      </w:pPr>
    </w:p>
    <w:p w:rsidR="0069507C" w:rsidRDefault="0069507C" w:rsidP="000645EF">
      <w:pPr>
        <w:pStyle w:val="BillDots"/>
      </w:pPr>
      <w:r>
        <w:t>Introduced by Reps. J.E. Smith, Quinn, Munnerlyn, Williams, Jefferson, Johnson, McEachern, Brannon, Dillard, McLeod, Stavrinakis, Sellers, Sabb, Brady, Ott, Vick, H.B. Brown, Branham, Bingham, Bowers, Cobb</w:t>
      </w:r>
      <w:r>
        <w:noBreakHyphen/>
        <w:t>Hunter, Erickson, Harrison, Hart, Hayes, Herbkersman, Merrill, J.H. Neal, Pitts, G.M. Smith, Whipper and Anderson</w:t>
      </w:r>
    </w:p>
    <w:p w:rsidR="0069507C" w:rsidRDefault="0069507C" w:rsidP="000645EF">
      <w:pPr>
        <w:pStyle w:val="BillDots"/>
      </w:pPr>
    </w:p>
    <w:p w:rsidR="0069507C" w:rsidRDefault="0069507C" w:rsidP="000645EF">
      <w:pPr>
        <w:pStyle w:val="BillDots"/>
      </w:pPr>
      <w:r>
        <w:t>S. Printed 5/30/12--S.</w:t>
      </w:r>
    </w:p>
    <w:p w:rsidR="0069507C" w:rsidRDefault="0069507C" w:rsidP="000645EF">
      <w:pPr>
        <w:pStyle w:val="BillDots"/>
      </w:pPr>
      <w:r>
        <w:t>Read the first time May 1, 2012.</w:t>
      </w:r>
    </w:p>
    <w:p w:rsidR="0069507C" w:rsidRPr="009D47C9" w:rsidRDefault="0069507C" w:rsidP="009D47C9">
      <w:pPr>
        <w:pStyle w:val="BillDots"/>
        <w:jc w:val="center"/>
      </w:pPr>
      <w:r>
        <w:rPr>
          <w:u w:val="single"/>
        </w:rPr>
        <w:t>            </w:t>
      </w:r>
    </w:p>
    <w:p w:rsidR="0069507C" w:rsidRDefault="0069507C" w:rsidP="000645EF">
      <w:pPr>
        <w:pStyle w:val="BillDots"/>
      </w:pPr>
    </w:p>
    <w:p w:rsidR="0069507C" w:rsidRPr="009D47C9" w:rsidRDefault="0069507C" w:rsidP="009D47C9">
      <w:pPr>
        <w:pStyle w:val="BillDots"/>
        <w:jc w:val="center"/>
      </w:pPr>
      <w:r>
        <w:rPr>
          <w:b/>
        </w:rPr>
        <w:t>THE COMMITTEE ON FINANCE</w:t>
      </w:r>
    </w:p>
    <w:p w:rsidR="0069507C" w:rsidRDefault="0069507C" w:rsidP="000645EF">
      <w:pPr>
        <w:pStyle w:val="BillDots"/>
      </w:pPr>
      <w:r>
        <w:tab/>
        <w:t>To whom was referred a Bill (H. 4802) to amend the Code of Laws of South Carolina, 1976, by adding Chapter 67 to Title 12 so as to enact the “South Carolina Abandoned Buildings Revitalization Act” which, etc., respectfully</w:t>
      </w:r>
    </w:p>
    <w:p w:rsidR="0069507C" w:rsidRPr="009D47C9" w:rsidRDefault="0069507C" w:rsidP="009D47C9">
      <w:pPr>
        <w:pStyle w:val="BillDots"/>
        <w:jc w:val="center"/>
      </w:pPr>
      <w:r>
        <w:rPr>
          <w:b/>
        </w:rPr>
        <w:t>REPORT:</w:t>
      </w:r>
    </w:p>
    <w:p w:rsidR="0069507C" w:rsidRDefault="0069507C" w:rsidP="000645EF">
      <w:pPr>
        <w:pStyle w:val="BillDots"/>
      </w:pPr>
      <w:r>
        <w:tab/>
        <w:t>That they have duly and carefully considered the same and recommend that the same do pass with amendment:</w:t>
      </w:r>
    </w:p>
    <w:p w:rsidR="0069507C" w:rsidRDefault="0069507C" w:rsidP="000645EF">
      <w:pPr>
        <w:pStyle w:val="BillDots"/>
      </w:pP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A6EAB">
        <w:rPr>
          <w:snapToGrid w:val="0"/>
        </w:rPr>
        <w:tab/>
        <w:t>Amend the bill, as and if amended, by striking all after the enacting words and inserting:</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CA6EAB">
        <w:rPr>
          <w:snapToGrid w:val="0"/>
        </w:rPr>
        <w:t>/</w:t>
      </w:r>
      <w:r w:rsidRPr="00CA6EAB">
        <w:rPr>
          <w:snapToGrid w:val="0"/>
        </w:rPr>
        <w:tab/>
      </w:r>
      <w:r w:rsidRPr="00CA6EAB">
        <w:rPr>
          <w:snapToGrid w:val="0"/>
        </w:rPr>
        <w:tab/>
      </w:r>
      <w:r w:rsidRPr="00CA6EAB">
        <w:t>SECTION</w:t>
      </w:r>
      <w:r w:rsidRPr="00CA6EAB">
        <w:tab/>
        <w:t>1.</w:t>
      </w:r>
      <w:r w:rsidRPr="00CA6EAB">
        <w:tab/>
        <w:t>Title 12 of the 1976 Code is amended by adding:</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“CHAPTER 67</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 xml:space="preserve">South Carolina Abandoned Buildings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Revitalization Act</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tab/>
        <w:t>Section 12</w:t>
      </w:r>
      <w:r w:rsidRPr="00CA6EAB">
        <w:noBreakHyphen/>
        <w:t>67</w:t>
      </w:r>
      <w:r w:rsidRPr="00CA6EAB">
        <w:noBreakHyphen/>
        <w:t xml:space="preserve">100. </w:t>
      </w:r>
      <w:r w:rsidRPr="00CA6EAB">
        <w:tab/>
      </w:r>
      <w:r w:rsidRPr="00CA6EAB">
        <w:rPr>
          <w:u w:color="000000" w:themeColor="text1"/>
        </w:rPr>
        <w:t xml:space="preserve">This chapter may be cited as the ‘South Carolina Abandoned Buildings Revitalization Act’.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Pr="00CA6EAB">
        <w:rPr>
          <w:u w:color="000000" w:themeColor="text1"/>
        </w:rPr>
        <w:noBreakHyphen/>
        <w:t>67</w:t>
      </w:r>
      <w:r w:rsidRPr="00CA6EAB">
        <w:rPr>
          <w:u w:color="000000" w:themeColor="text1"/>
        </w:rPr>
        <w:noBreakHyphen/>
        <w:t xml:space="preserve">110. </w:t>
      </w:r>
      <w:r w:rsidRPr="00CA6EAB">
        <w:rPr>
          <w:u w:color="000000" w:themeColor="text1"/>
        </w:rPr>
        <w:tab/>
        <w:t>(A)</w:t>
      </w:r>
      <w:r w:rsidRPr="00CA6EAB">
        <w:rPr>
          <w:u w:color="000000" w:themeColor="text1"/>
        </w:rPr>
        <w:tab/>
        <w:t xml:space="preserve">The purpose of this chapter is to create an incentive for the rehabilitation, renovation, and redevelopment of abandoned buildings located in South Carolina.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(B)</w:t>
      </w:r>
      <w:r w:rsidRPr="00CA6EAB">
        <w:rPr>
          <w:u w:color="000000" w:themeColor="text1"/>
        </w:rPr>
        <w:tab/>
        <w:t>The abandonment of buildings has resulted in the disruption of communities and increased the cost to local governments by requiring additional police and fire services due to excessive vacancies.  Many abandoned buildings pose safety concerns.  A public and corporate purpose is served by restoring these buildings to productive assets for the communities in which they are located and result in increased job opportunities.</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(C)</w:t>
      </w:r>
      <w:r w:rsidRPr="00CA6EAB">
        <w:rPr>
          <w:u w:color="000000" w:themeColor="text1"/>
        </w:rPr>
        <w:tab/>
        <w:t>There exists in many communities of this State abandoned buildings.  The stable economic and physical development of these communities is endangered by the presence of these abandoned 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CA6EAB">
        <w:rPr>
          <w:u w:val="single" w:color="000000" w:themeColor="text1"/>
        </w:rPr>
        <w:t xml:space="preserve">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Pr="00CA6EAB">
        <w:rPr>
          <w:u w:color="000000" w:themeColor="text1"/>
        </w:rPr>
        <w:noBreakHyphen/>
        <w:t>67</w:t>
      </w:r>
      <w:r w:rsidRPr="00CA6EAB">
        <w:rPr>
          <w:u w:color="000000" w:themeColor="text1"/>
        </w:rPr>
        <w:noBreakHyphen/>
        <w:t xml:space="preserve">120. </w:t>
      </w:r>
      <w:r w:rsidRPr="00CA6EAB">
        <w:rPr>
          <w:u w:color="000000" w:themeColor="text1"/>
        </w:rPr>
        <w:tab/>
        <w:t xml:space="preserve">For the purposes of this chapter, unless the context requires otherwise: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(1)</w:t>
      </w:r>
      <w:r w:rsidRPr="00CA6EAB">
        <w:rPr>
          <w:u w:color="000000" w:themeColor="text1"/>
        </w:rPr>
        <w:tab/>
        <w:t>‘Abandoned building’ means a building or structure, which clearly may be delineated from other buildings or structures, at least sixty</w:t>
      </w:r>
      <w:r w:rsidRPr="00CA6EAB">
        <w:rPr>
          <w:u w:color="000000" w:themeColor="text1"/>
        </w:rPr>
        <w:noBreakHyphen/>
        <w:t xml:space="preserve">six percent of the space in which has been closed continuously to business or otherwise nonoperational for income producing purposes for a period of at least five years immediately preceding the date on which the taxpayer files a ‘Notice of Intent to Rehabilitate’.  For purposes of this item, a building or structure that otherwise qualifies as an ‘abandoned building’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For purposes of this item, an abandoned building is not a building or structure with an immediate preceding use as </w:t>
      </w:r>
      <w:r w:rsidRPr="00CA6EAB">
        <w:t>a single-family residence.</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(2)</w:t>
      </w:r>
      <w:r w:rsidRPr="00CA6EAB">
        <w:rPr>
          <w:u w:color="000000" w:themeColor="text1"/>
        </w:rPr>
        <w:tab/>
        <w:t xml:space="preserve">‘Building site’ means the abandoned building together with the parcel of land upon which it is located and other improvements located on the parcel.  However, the area of the building site is limited to the land upon which the abandoned building is located and the land immediately surrounding such building used for parking and other similar purposes directly related to the building’s income producing use.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(3)</w:t>
      </w:r>
      <w:r w:rsidRPr="00CA6EAB">
        <w:rPr>
          <w:u w:color="000000" w:themeColor="text1"/>
        </w:rPr>
        <w:tab/>
        <w:t xml:space="preserve">‘Local taxing entities’ means a county, municipality, school district, special purpose district, and other entity or district with the power to levy ad valorem property taxes against the building site.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(6)</w:t>
      </w:r>
      <w:r w:rsidRPr="00CA6EAB">
        <w:rPr>
          <w:u w:color="000000" w:themeColor="text1"/>
        </w:rPr>
        <w:tab/>
        <w:t xml:space="preserve">‘Local taxing entity ratio’ means that percentage computed by dividing the millage rate of each local taxing entity by the total millage rate for the building site.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(4)</w:t>
      </w:r>
      <w:r w:rsidRPr="00CA6EAB">
        <w:rPr>
          <w:u w:color="000000" w:themeColor="text1"/>
        </w:rPr>
        <w:tab/>
        <w:t xml:space="preserve">‘Placed in service’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(5)</w:t>
      </w:r>
      <w:r w:rsidRPr="00CA6EAB">
        <w:rPr>
          <w:u w:color="000000" w:themeColor="text1"/>
        </w:rPr>
        <w:tab/>
        <w:t xml:space="preserve">‘Rehabilitation expenses’ means the expenses or capital expenditures incurred in the rehabilitation, renovation, or redevelopment of the building site, including without limitations, the demolition,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  Rehabilitation expenses associated with a building site that increases the amount of square footage on the building site in excess of one hundred fifty percent of the amount of square footage of the buildings that existed on the building site as of the filing of the notice of intent to rehabilitate shall not be considered a rehabilitation expense for purposes of calculating the amount of the credit.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(6)</w:t>
      </w:r>
      <w:r w:rsidRPr="00CA6EAB">
        <w:rPr>
          <w:u w:color="000000" w:themeColor="text1"/>
        </w:rPr>
        <w:tab/>
        <w:t xml:space="preserve">‘Notice of Intent to Rehabilitate’ means a letter submitted by the taxpayer to the department or the municipality or county as specified in this chapter, indicating the taxpayer’s intent to rehabilitate the building site, the location of the building site, the amount of acreage involved in the building site, the amount of square footage of existing buildings involved in the building site, and the estimated expenses to be incurred in connection with rehabilitation of the building site.  The notice also must set forth information as to which buildings the taxpayer intends to renovate and whether new construction is to be involved.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Pr="00CA6EAB">
        <w:rPr>
          <w:u w:color="000000" w:themeColor="text1"/>
        </w:rPr>
        <w:noBreakHyphen/>
        <w:t>67</w:t>
      </w:r>
      <w:r w:rsidRPr="00CA6EAB">
        <w:rPr>
          <w:u w:color="000000" w:themeColor="text1"/>
        </w:rPr>
        <w:noBreakHyphen/>
        <w:t xml:space="preserve">130. </w:t>
      </w:r>
      <w:r w:rsidRPr="00CA6EAB">
        <w:rPr>
          <w:u w:color="000000" w:themeColor="text1"/>
        </w:rPr>
        <w:tab/>
        <w:t>This chapter only applies to abandoned building sites or phases or portions thereof put into operation in which a taxpayer incurs more than two hundred fifty thousand dollars in rehabilitation expenses.  Further, this chapter only applies to abandoned building sites or phases or portions thereof put into operation for income producing purposes and that meet the purpose of this chapter set forth in Section 12-67-110.  The construction of a single-family residence is not an income producing purpose and does not meet the purpose of this chapter.</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Pr="00CA6EAB">
        <w:rPr>
          <w:u w:color="000000" w:themeColor="text1"/>
        </w:rPr>
        <w:noBreakHyphen/>
        <w:t>67</w:t>
      </w:r>
      <w:r w:rsidRPr="00CA6EAB">
        <w:rPr>
          <w:u w:color="000000" w:themeColor="text1"/>
        </w:rPr>
        <w:noBreakHyphen/>
        <w:t xml:space="preserve">140. </w:t>
      </w:r>
      <w:r w:rsidRPr="00CA6EAB">
        <w:rPr>
          <w:u w:color="000000" w:themeColor="text1"/>
        </w:rPr>
        <w:tab/>
        <w:t>(A)</w:t>
      </w:r>
      <w:r w:rsidRPr="00CA6EAB">
        <w:rPr>
          <w:u w:color="000000" w:themeColor="text1"/>
        </w:rPr>
        <w:tab/>
        <w:t xml:space="preserve">Subject to the terms and conditions of this chapter, a taxpayer who rehabilitates an abandoned building is eligible for either: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(1)</w:t>
      </w:r>
      <w:r w:rsidRPr="00CA6EAB">
        <w:rPr>
          <w:u w:color="000000" w:themeColor="text1"/>
        </w:rPr>
        <w:tab/>
        <w:t xml:space="preserve">a credit against income taxes imposed pursuant to Chapter 6 and Chapter 11 of this title or corporate license fees pursuant to Chapter 20 of this title, or both;  or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 xml:space="preserve">a credit against real property taxes levied by local taxing entities.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(B)</w:t>
      </w:r>
      <w:r w:rsidRPr="00CA6EAB">
        <w:rPr>
          <w:u w:color="000000" w:themeColor="text1"/>
        </w:rPr>
        <w:tab/>
        <w:t xml:space="preserve">If the taxpayer elects to receive the credit pursuant to subsection (A)(1), the following provisions apply: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(1)</w:t>
      </w:r>
      <w:r w:rsidRPr="00CA6EAB">
        <w:rPr>
          <w:u w:color="000000" w:themeColor="text1"/>
        </w:rPr>
        <w:tab/>
        <w:t xml:space="preserve">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The amount of the credit is equal to twenty</w:t>
      </w:r>
      <w:r w:rsidRPr="00CA6EAB">
        <w:rPr>
          <w:u w:color="000000" w:themeColor="text1"/>
        </w:rPr>
        <w:noBreakHyphen/>
        <w:t>five percent of the actual rehabilitation expenses incurred at the building site if the actual rehabilitation expenses incurred in rehabilitating the building site are between eighty percent and one hundred twenty</w:t>
      </w:r>
      <w:r w:rsidRPr="00CA6EAB">
        <w:rPr>
          <w:u w:color="000000" w:themeColor="text1"/>
        </w:rPr>
        <w:noBreakHyphen/>
        <w:t>five percent of the estimated rehabilitation expenses set forth in the Notice of Intent to Rehabilitate.  If the actual rehabilitation expenses exceed one hundred twenty</w:t>
      </w:r>
      <w:r w:rsidRPr="00CA6EAB">
        <w:rPr>
          <w:u w:color="000000" w:themeColor="text1"/>
        </w:rPr>
        <w:noBreakHyphen/>
        <w:t>five percent of the estimated expenses set forth in the Notice of Intent to Rehabilitate, the taxpayer qualifies for the credit based on one hundred twenty</w:t>
      </w:r>
      <w:r w:rsidRPr="00CA6EAB">
        <w:rPr>
          <w:u w:color="000000" w:themeColor="text1"/>
        </w:rPr>
        <w:noBreakHyphen/>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(3)(a)</w:t>
      </w:r>
      <w:r w:rsidRPr="00CA6EAB">
        <w:rPr>
          <w:u w:color="000000" w:themeColor="text1"/>
        </w:rPr>
        <w:tab/>
        <w:t>The entire credit is earned in the taxable year in which the applicable phase or portion of the building site is placed in service but must be taken in equal installments over a five</w:t>
      </w:r>
      <w:r w:rsidRPr="00CA6EAB">
        <w:rPr>
          <w:u w:color="000000" w:themeColor="text1"/>
        </w:rPr>
        <w:noBreakHyphen/>
        <w:t>year period beginning with the tax year in which the applicable phase or portion of the building site is placed in service.  Unused credit may be carried forward for the succeeding five years.</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The entire credit earned pursuant to this item may not exceed four hundred thousand dollars for any taxpayer in a tax year for each abandoned building site.  The limitation provided in this subitem applies to each unit or parcel deemed to be an abandoned building site.</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(4)</w:t>
      </w:r>
      <w:r w:rsidRPr="00CA6EAB">
        <w:rPr>
          <w:u w:color="000000" w:themeColor="text1"/>
        </w:rPr>
        <w:tab/>
        <w:t>If the taxpayer qualifies for both the credit allowed by this section and the credit allowed pursuant to the Textiles Communities Revitalization Act or the Retail Facilities Revitalization Act, the taxpayer only may claim one of the credits.  However, the taxpayer is not disqualified from claiming any other tax credit in conjunction with the credit allowed by this section.</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(5)</w:t>
      </w:r>
      <w:r w:rsidRPr="00CA6EAB">
        <w:rPr>
          <w:u w:color="000000" w:themeColor="text1"/>
        </w:rPr>
        <w:tab/>
        <w:t xml:space="preserve">The credit allowed by this subsection is limited in use to fifty percent of either: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(a)</w:t>
      </w:r>
      <w:r w:rsidRPr="00CA6EAB">
        <w:rPr>
          <w:u w:color="000000" w:themeColor="text1"/>
        </w:rPr>
        <w:tab/>
        <w:t>the taxpayer’s income tax liability for the taxable year if taxpayer claims the credit allowed by this section as a credit against income tax imposed pursuant to Chapter 6 or Chapter 11 of this title; or</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 xml:space="preserve">the taxpayer’s corporate license fees for the taxable year if the taxpayer claims the credit allowed by this section as a credit against license fees imposed pursuant to Chapter 20.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(6)(a)</w:t>
      </w:r>
      <w:r w:rsidRPr="00CA6EAB">
        <w:rPr>
          <w:u w:color="000000" w:themeColor="text1"/>
        </w:rPr>
        <w:tab/>
        <w:t xml:space="preserve">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 xml:space="preserve">To the extent that the taxpayer transfers the credit, the taxpayer shall notify the department of the transfer in the manner the department prescribes.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(7)</w:t>
      </w:r>
      <w:r w:rsidRPr="00CA6EAB">
        <w:rPr>
          <w:u w:color="000000" w:themeColor="text1"/>
        </w:rPr>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(C)</w:t>
      </w:r>
      <w:r w:rsidRPr="00CA6EAB">
        <w:rPr>
          <w:u w:color="000000" w:themeColor="text1"/>
        </w:rPr>
        <w:tab/>
        <w:t xml:space="preserve">If the taxpayer elects to receive the credit pursuant to subsection (A)(2), the following provisions apply: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(1)</w:t>
      </w:r>
      <w:r w:rsidRPr="00CA6EAB">
        <w:rPr>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qualification of only those rehabilitation expenses incurred after notice is provided.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Once the Notice of Intent to Rehabilitate has been provided to the county or municipality, the municipality or the county first shall determine, by resolution, the eligibility of the building site and the proposed rehabilitation expenses for the credit.  A proposed rehabilitation of a building site must be approved by a positive majority vote of the local governing body.  For purposes of this subsection, ‘positive majority vote’ is as defined in Section 6</w:t>
      </w:r>
      <w:r w:rsidRPr="00CA6EAB">
        <w:rPr>
          <w:u w:color="000000" w:themeColor="text1"/>
        </w:rPr>
        <w:noBreakHyphen/>
        <w:t>1</w:t>
      </w:r>
      <w:r w:rsidRPr="00CA6EAB">
        <w:rPr>
          <w:u w:color="000000" w:themeColor="text1"/>
        </w:rPr>
        <w:noBreakHyphen/>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(3)(a)</w:t>
      </w:r>
      <w:r w:rsidRPr="00CA6EAB">
        <w:rPr>
          <w:u w:color="000000" w:themeColor="text1"/>
        </w:rPr>
        <w:tab/>
        <w:t>The amount of the credit is equal to twenty</w:t>
      </w:r>
      <w:r w:rsidRPr="00CA6EAB">
        <w:rPr>
          <w:u w:color="000000" w:themeColor="text1"/>
        </w:rPr>
        <w:noBreakHyphen/>
        <w:t>five percent of the actual rehabilitation expenses incurred at the building site times the local taxing entity ratio of each local taxing entity that has consented to the credit pursuant to item (4), if the actual rehabilitation expenses incurred in rehabilitating the building site are between eighty percent and one hundred twenty</w:t>
      </w:r>
      <w:r w:rsidRPr="00CA6EAB">
        <w:rPr>
          <w:u w:color="000000" w:themeColor="text1"/>
        </w:rPr>
        <w:noBreakHyphen/>
        <w:t>five percent of the estimated rehabilitation expenses set forth in the Notice of Intent to Rehabilitate.  If the actual rehabilitation expenses exceed one hundred twenty</w:t>
      </w:r>
      <w:r w:rsidRPr="00CA6EAB">
        <w:rPr>
          <w:u w:color="000000" w:themeColor="text1"/>
        </w:rPr>
        <w:noBreakHyphen/>
        <w:t>five percent of the estimated expenses set forth in the Notice of Intent to Rehabilitate, the taxpayer qualifies for the credit based on one hundred twenty</w:t>
      </w:r>
      <w:r w:rsidRPr="00CA6EAB">
        <w:rPr>
          <w:u w:color="000000" w:themeColor="text1"/>
        </w:rPr>
        <w:noBreakHyphen/>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sidRPr="00CA6EAB">
        <w:rPr>
          <w:u w:color="000000" w:themeColor="text1"/>
        </w:rPr>
        <w:noBreakHyphen/>
        <w:t xml:space="preserve">five percent of the real property taxes due on the building site each year for up to eight years.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 xml:space="preserve">The local taxing entity ratio is set as of the time the Notice of Intent to Rehabilitate is filed and remains set for the entire period that the credit may be claimed by the taxpayer.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(4)</w:t>
      </w:r>
      <w:r w:rsidRPr="00CA6EAB">
        <w:rPr>
          <w:u w:color="000000" w:themeColor="text1"/>
        </w:rPr>
        <w:tab/>
        <w:t>Not fewer than forty</w:t>
      </w:r>
      <w:r w:rsidRPr="00CA6EAB">
        <w:rPr>
          <w:u w:color="000000" w:themeColor="text1"/>
        </w:rPr>
        <w:noBreakHyphen/>
        <w:t xml:space="preserve">five days before holding the public hearing required by subsection (C)(2), the governing body of the municipality or county shall give notice to all affected local taxing entities in which the building site is located of its intention to grant a credit against real property taxes for the building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(5)</w:t>
      </w:r>
      <w:r w:rsidRPr="00CA6EAB">
        <w:rPr>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(D)</w:t>
      </w:r>
      <w:r w:rsidRPr="00CA6EAB">
        <w:rPr>
          <w:u w:color="000000" w:themeColor="text1"/>
        </w:rPr>
        <w:tab/>
        <w:t>A taxpayer is not eligible for the credit if the taxpayer owned the otherwise eligible building site when the site was operational and immediately prior to its abandonment.</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w:t>
      </w:r>
      <w:r w:rsidRPr="00CA6EAB">
        <w:rPr>
          <w:u w:color="000000" w:themeColor="text1"/>
        </w:rPr>
        <w:tab/>
        <w:t>12</w:t>
      </w:r>
      <w:r w:rsidRPr="00CA6EAB">
        <w:rPr>
          <w:u w:color="000000" w:themeColor="text1"/>
        </w:rPr>
        <w:noBreakHyphen/>
        <w:t>67</w:t>
      </w:r>
      <w:r w:rsidRPr="00CA6EAB">
        <w:rPr>
          <w:u w:color="000000" w:themeColor="text1"/>
        </w:rPr>
        <w:noBreakHyphen/>
        <w:t xml:space="preserve">150. </w:t>
      </w:r>
      <w:r w:rsidRPr="00CA6EAB">
        <w:rPr>
          <w:u w:color="000000" w:themeColor="text1"/>
        </w:rPr>
        <w:tab/>
        <w:t>The provisions of Chapter 31, Title 6 also apply to this chapter, except that the requirements of Section 6</w:t>
      </w:r>
      <w:r w:rsidRPr="00CA6EAB">
        <w:rPr>
          <w:u w:color="000000" w:themeColor="text1"/>
        </w:rPr>
        <w:noBreakHyphen/>
        <w:t>31</w:t>
      </w:r>
      <w:r w:rsidRPr="00CA6EAB">
        <w:rPr>
          <w:u w:color="000000" w:themeColor="text1"/>
        </w:rPr>
        <w:noBreakHyphen/>
        <w:t>40 do not apply.”</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A6EAB">
        <w:rPr>
          <w:u w:color="000000" w:themeColor="text1"/>
        </w:rPr>
        <w:tab/>
        <w:t>SECTION</w:t>
      </w:r>
      <w:r w:rsidRPr="00CA6EAB">
        <w:rPr>
          <w:u w:color="000000" w:themeColor="text1"/>
        </w:rPr>
        <w:tab/>
        <w:t>2.</w:t>
      </w:r>
      <w:r w:rsidRPr="00CA6EAB">
        <w:rPr>
          <w:u w:color="000000" w:themeColor="text1"/>
        </w:rPr>
        <w:tab/>
        <w:t>This act takes effect upon approval by the Governor.</w:t>
      </w:r>
      <w:r w:rsidRPr="00CA6EAB">
        <w:rPr>
          <w:u w:color="000000" w:themeColor="text1"/>
        </w:rPr>
        <w:tab/>
      </w:r>
      <w:r w:rsidRPr="00CA6EAB">
        <w:rPr>
          <w:u w:color="000000" w:themeColor="text1"/>
        </w:rPr>
        <w:tab/>
        <w:t>/</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A6EAB">
        <w:rPr>
          <w:snapToGrid w:val="0"/>
        </w:rPr>
        <w:tab/>
        <w:t>Renumber sections to conform.</w:t>
      </w:r>
    </w:p>
    <w:p w:rsidR="0069507C"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A6EAB">
        <w:rPr>
          <w:snapToGrid w:val="0"/>
        </w:rPr>
        <w:tab/>
        <w:t>Amend title to conform.</w:t>
      </w:r>
    </w:p>
    <w:p w:rsidR="0069507C" w:rsidRPr="00CA6EAB" w:rsidRDefault="0069507C" w:rsidP="0045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9507C" w:rsidRDefault="0069507C" w:rsidP="000645EF">
      <w:pPr>
        <w:pStyle w:val="BillDots"/>
      </w:pPr>
      <w:r>
        <w:t>HUGH K. LEATHERMAN, SR. for Committee.</w:t>
      </w:r>
    </w:p>
    <w:p w:rsidR="0069507C" w:rsidRPr="00456FF0" w:rsidRDefault="0069507C" w:rsidP="00456FF0">
      <w:pPr>
        <w:pStyle w:val="BillDots"/>
        <w:jc w:val="center"/>
      </w:pPr>
      <w:r>
        <w:rPr>
          <w:u w:val="single"/>
        </w:rPr>
        <w:t>            </w:t>
      </w:r>
    </w:p>
    <w:p w:rsidR="0069507C" w:rsidRPr="00BC6D9B" w:rsidRDefault="0069507C" w:rsidP="0026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507C" w:rsidRDefault="0069507C" w:rsidP="000645EF">
      <w:pPr>
        <w:pStyle w:val="BillDots"/>
      </w:pPr>
    </w:p>
    <w:p w:rsidR="0069507C" w:rsidRPr="00AC1F83" w:rsidRDefault="0069507C" w:rsidP="000645EF">
      <w:pPr>
        <w:pStyle w:val="BillDots"/>
        <w:sectPr w:rsidR="0069507C" w:rsidRPr="00AC1F83" w:rsidSect="00AC1F83">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69507C" w:rsidRDefault="0069507C" w:rsidP="000645EF">
      <w:pPr>
        <w:pStyle w:val="BillDots"/>
      </w:pPr>
    </w:p>
    <w:p w:rsidR="0069507C" w:rsidRDefault="0069507C" w:rsidP="000645EF">
      <w:pPr>
        <w:pStyle w:val="Numbersforbills"/>
      </w:pPr>
    </w:p>
    <w:p w:rsidR="0069507C" w:rsidRDefault="0069507C" w:rsidP="000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07C" w:rsidRDefault="0069507C" w:rsidP="000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07C" w:rsidRDefault="0069507C" w:rsidP="000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07C" w:rsidRDefault="0069507C" w:rsidP="000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07C" w:rsidRDefault="0069507C" w:rsidP="000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07C" w:rsidRDefault="00695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07C" w:rsidRPr="00325348" w:rsidRDefault="0069507C" w:rsidP="00B65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9507C" w:rsidRDefault="00695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07C" w:rsidRDefault="00695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67 TO TITLE 12 SO AS TO ENACT THE “SOUTH CAROLINA ABANDONED BUILDINGS REVITALIZATION ACT” WHICH PROVIDES THAT A TAXPAYER MAKING INVESTMENTS OF A CERTAIN SIZE IN REHABILITATING AN ABANDONED BUILDING MAY AT HIS OPTION RECEIVE SPECIFIED INCOME TAX CREDITS OR CREDITS AGAINST THE PROPERTY TAX LIABILITY.</w:t>
      </w:r>
    </w:p>
    <w:p w:rsidR="0069507C" w:rsidRDefault="00695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507C" w:rsidRDefault="00695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507C" w:rsidRDefault="00695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07C" w:rsidRDefault="00695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12 of the 1976 Code is amended by adding:</w:t>
      </w:r>
    </w:p>
    <w:p w:rsidR="0069507C" w:rsidRDefault="00695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07C"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67</w:t>
      </w:r>
    </w:p>
    <w:p w:rsidR="0069507C"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9507C"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Abandoned Buildings </w:t>
      </w:r>
    </w:p>
    <w:p w:rsidR="0069507C"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Revitalization Act</w:t>
      </w:r>
    </w:p>
    <w:p w:rsidR="0069507C"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noBreakHyphen/>
        <w:t>67</w:t>
      </w:r>
      <w:r>
        <w:noBreakHyphen/>
        <w:t xml:space="preserve">100. </w:t>
      </w:r>
      <w:r>
        <w:tab/>
      </w:r>
      <w:r w:rsidRPr="0075071B">
        <w:rPr>
          <w:color w:val="000000" w:themeColor="text1"/>
          <w:u w:color="000000" w:themeColor="text1"/>
        </w:rPr>
        <w:t xml:space="preserve">This chapter may be cited as the </w:t>
      </w:r>
      <w:r w:rsidRPr="00A17DD6">
        <w:rPr>
          <w:color w:val="000000" w:themeColor="text1"/>
          <w:u w:color="000000" w:themeColor="text1"/>
        </w:rPr>
        <w:t>‘</w:t>
      </w:r>
      <w:r w:rsidRPr="0075071B">
        <w:rPr>
          <w:color w:val="000000" w:themeColor="text1"/>
          <w:u w:color="000000" w:themeColor="text1"/>
        </w:rPr>
        <w:t>South Carolina Abandoned Buildings Revitalization Act</w:t>
      </w:r>
      <w:r w:rsidRPr="00A17DD6">
        <w:rPr>
          <w:color w:val="000000" w:themeColor="text1"/>
          <w:u w:color="000000" w:themeColor="text1"/>
        </w:rPr>
        <w:t>’</w:t>
      </w:r>
      <w:r w:rsidRPr="0075071B">
        <w:rPr>
          <w:color w:val="000000" w:themeColor="text1"/>
          <w:u w:color="000000" w:themeColor="text1"/>
        </w:rPr>
        <w:t xml:space="preserve">. </w:t>
      </w:r>
    </w:p>
    <w:p w:rsidR="0069507C"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Pr>
          <w:color w:val="000000" w:themeColor="text1"/>
          <w:u w:color="000000" w:themeColor="text1"/>
        </w:rPr>
        <w:t>Section 12</w:t>
      </w:r>
      <w:r>
        <w:rPr>
          <w:color w:val="000000" w:themeColor="text1"/>
          <w:u w:color="000000" w:themeColor="text1"/>
        </w:rPr>
        <w:noBreakHyphen/>
        <w:t>67</w:t>
      </w:r>
      <w:r>
        <w:rPr>
          <w:color w:val="000000" w:themeColor="text1"/>
          <w:u w:color="000000" w:themeColor="text1"/>
        </w:rPr>
        <w:noBreakHyphen/>
        <w:t xml:space="preserve">110. </w:t>
      </w:r>
      <w:r>
        <w:rPr>
          <w:color w:val="000000" w:themeColor="text1"/>
          <w:u w:color="000000" w:themeColor="text1"/>
        </w:rPr>
        <w:tab/>
      </w:r>
      <w:r w:rsidRPr="0075071B">
        <w:rPr>
          <w:color w:val="000000" w:themeColor="text1"/>
          <w:u w:color="000000" w:themeColor="text1"/>
        </w:rPr>
        <w:t>(A)</w:t>
      </w:r>
      <w:r w:rsidRPr="0075071B">
        <w:rPr>
          <w:color w:val="000000" w:themeColor="text1"/>
          <w:u w:color="000000" w:themeColor="text1"/>
        </w:rPr>
        <w:tab/>
        <w:t xml:space="preserve">The purpose of this chapter is to create an incentive for the rehabilitation, renovation, and redevelopment of abandoned buildings located in South Carolina.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(B)</w:t>
      </w:r>
      <w:r w:rsidRPr="0075071B">
        <w:rPr>
          <w:color w:val="000000" w:themeColor="text1"/>
          <w:u w:color="000000" w:themeColor="text1"/>
        </w:rPr>
        <w:tab/>
        <w:t>The abandonment of buildings has resulted in the disruption of communities and increased the cost to local governments by requiring additional police and fire services due to excessive vacancies.  Many abandoned buildings pose safety concerns.  A public and corporate purpose is served by restoring these buildings to productive assets for the communities in which they are located and result in increased job opportunities.</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(C)</w:t>
      </w:r>
      <w:r w:rsidRPr="0075071B">
        <w:rPr>
          <w:color w:val="000000" w:themeColor="text1"/>
          <w:u w:color="000000" w:themeColor="text1"/>
        </w:rPr>
        <w:tab/>
        <w:t>There exists in many communities of this State abandoned buildings.  The stable economic and physical development of these communities is endangered by the presence of these abandoned 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75071B">
        <w:rPr>
          <w:color w:val="000000" w:themeColor="text1"/>
          <w:u w:val="single" w:color="000000" w:themeColor="text1"/>
        </w:rPr>
        <w:t xml:space="preserve">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 xml:space="preserve">Section </w:t>
      </w:r>
      <w:r>
        <w:rPr>
          <w:color w:val="000000" w:themeColor="text1"/>
          <w:u w:color="000000" w:themeColor="text1"/>
        </w:rPr>
        <w:t>12</w:t>
      </w:r>
      <w:r>
        <w:rPr>
          <w:color w:val="000000" w:themeColor="text1"/>
          <w:u w:color="000000" w:themeColor="text1"/>
        </w:rPr>
        <w:noBreakHyphen/>
        <w:t>67</w:t>
      </w:r>
      <w:r>
        <w:rPr>
          <w:color w:val="000000" w:themeColor="text1"/>
          <w:u w:color="000000" w:themeColor="text1"/>
        </w:rPr>
        <w:noBreakHyphen/>
        <w:t xml:space="preserve">120. </w:t>
      </w:r>
      <w:r>
        <w:rPr>
          <w:color w:val="000000" w:themeColor="text1"/>
          <w:u w:color="000000" w:themeColor="text1"/>
        </w:rPr>
        <w:tab/>
        <w:t>F</w:t>
      </w:r>
      <w:r w:rsidRPr="0075071B">
        <w:rPr>
          <w:color w:val="000000" w:themeColor="text1"/>
          <w:u w:color="000000" w:themeColor="text1"/>
        </w:rPr>
        <w:t xml:space="preserve">or the purposes of this chapter, unless the context requires otherwise: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(1)</w:t>
      </w:r>
      <w:r w:rsidRPr="0075071B">
        <w:rPr>
          <w:color w:val="000000" w:themeColor="text1"/>
          <w:u w:color="000000" w:themeColor="text1"/>
        </w:rPr>
        <w:tab/>
      </w:r>
      <w:r w:rsidRPr="00A17DD6">
        <w:rPr>
          <w:color w:val="000000" w:themeColor="text1"/>
          <w:u w:color="000000" w:themeColor="text1"/>
        </w:rPr>
        <w:t>‘</w:t>
      </w:r>
      <w:r w:rsidRPr="0075071B">
        <w:rPr>
          <w:color w:val="000000" w:themeColor="text1"/>
          <w:u w:color="000000" w:themeColor="text1"/>
        </w:rPr>
        <w:t>Abandoned building</w:t>
      </w:r>
      <w:r w:rsidRPr="00A17DD6">
        <w:rPr>
          <w:color w:val="000000" w:themeColor="text1"/>
          <w:u w:color="000000" w:themeColor="text1"/>
        </w:rPr>
        <w:t>’</w:t>
      </w:r>
      <w:r w:rsidRPr="0075071B">
        <w:rPr>
          <w:color w:val="000000" w:themeColor="text1"/>
          <w:u w:color="000000" w:themeColor="text1"/>
        </w:rPr>
        <w:t xml:space="preserve"> means a building or structure, which clearly may be delineated from other buildings or structures, at least sixty</w:t>
      </w:r>
      <w:r>
        <w:rPr>
          <w:color w:val="000000" w:themeColor="text1"/>
          <w:u w:color="000000" w:themeColor="text1"/>
        </w:rPr>
        <w:noBreakHyphen/>
      </w:r>
      <w:r w:rsidRPr="0075071B">
        <w:rPr>
          <w:color w:val="000000" w:themeColor="text1"/>
          <w:u w:color="000000" w:themeColor="text1"/>
        </w:rPr>
        <w:t xml:space="preserve">six percent of the space in which has been closed continuously to business or otherwise nonoperational for income producing purposes for a period of at least five years immediately preceding the date on which the taxpayer files a </w:t>
      </w:r>
      <w:r w:rsidRPr="00A17DD6">
        <w:rPr>
          <w:color w:val="000000" w:themeColor="text1"/>
          <w:u w:color="000000" w:themeColor="text1"/>
        </w:rPr>
        <w:t>‘</w:t>
      </w:r>
      <w:r w:rsidRPr="0075071B">
        <w:rPr>
          <w:color w:val="000000" w:themeColor="text1"/>
          <w:u w:color="000000" w:themeColor="text1"/>
        </w:rPr>
        <w:t>Notice of Intent to Rehabilitate</w:t>
      </w:r>
      <w:r w:rsidRPr="00A17DD6">
        <w:rPr>
          <w:color w:val="000000" w:themeColor="text1"/>
          <w:u w:color="000000" w:themeColor="text1"/>
        </w:rPr>
        <w:t>’</w:t>
      </w:r>
      <w:r w:rsidRPr="0075071B">
        <w:rPr>
          <w:color w:val="000000" w:themeColor="text1"/>
          <w:u w:color="000000" w:themeColor="text1"/>
        </w:rPr>
        <w:t xml:space="preserve">.  For purposes of this item, a building or structure that otherwise qualifies as an </w:t>
      </w:r>
      <w:r w:rsidRPr="00A17DD6">
        <w:rPr>
          <w:color w:val="000000" w:themeColor="text1"/>
          <w:u w:color="000000" w:themeColor="text1"/>
        </w:rPr>
        <w:t>‘</w:t>
      </w:r>
      <w:r w:rsidRPr="0075071B">
        <w:rPr>
          <w:color w:val="000000" w:themeColor="text1"/>
          <w:u w:color="000000" w:themeColor="text1"/>
        </w:rPr>
        <w:t>abandoned building</w:t>
      </w:r>
      <w:r w:rsidRPr="00A17DD6">
        <w:rPr>
          <w:color w:val="000000" w:themeColor="text1"/>
          <w:u w:color="000000" w:themeColor="text1"/>
        </w:rPr>
        <w:t>’</w:t>
      </w:r>
      <w:r w:rsidRPr="0075071B">
        <w:rPr>
          <w:color w:val="000000" w:themeColor="text1"/>
          <w:u w:color="000000" w:themeColor="text1"/>
        </w:rPr>
        <w:t xml:space="preserve">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(2)</w:t>
      </w:r>
      <w:r w:rsidRPr="0075071B">
        <w:rPr>
          <w:color w:val="000000" w:themeColor="text1"/>
          <w:u w:color="000000" w:themeColor="text1"/>
        </w:rPr>
        <w:tab/>
      </w:r>
      <w:r w:rsidRPr="00A17DD6">
        <w:rPr>
          <w:color w:val="000000" w:themeColor="text1"/>
          <w:u w:color="000000" w:themeColor="text1"/>
        </w:rPr>
        <w:t>‘</w:t>
      </w:r>
      <w:r w:rsidRPr="0075071B">
        <w:rPr>
          <w:color w:val="000000" w:themeColor="text1"/>
          <w:u w:color="000000" w:themeColor="text1"/>
        </w:rPr>
        <w:t>Building site</w:t>
      </w:r>
      <w:r w:rsidRPr="00A17DD6">
        <w:rPr>
          <w:color w:val="000000" w:themeColor="text1"/>
          <w:u w:color="000000" w:themeColor="text1"/>
        </w:rPr>
        <w:t>’</w:t>
      </w:r>
      <w:r w:rsidRPr="0075071B">
        <w:rPr>
          <w:color w:val="000000" w:themeColor="text1"/>
          <w:u w:color="000000" w:themeColor="text1"/>
        </w:rPr>
        <w:t xml:space="preserve"> means the abandoned building together with the parcel of land upon which it is located and other improvements located on </w:t>
      </w:r>
      <w:r>
        <w:rPr>
          <w:color w:val="000000" w:themeColor="text1"/>
          <w:u w:color="000000" w:themeColor="text1"/>
        </w:rPr>
        <w:t>the</w:t>
      </w:r>
      <w:r w:rsidRPr="0075071B">
        <w:rPr>
          <w:color w:val="000000" w:themeColor="text1"/>
          <w:u w:color="000000" w:themeColor="text1"/>
        </w:rPr>
        <w:t xml:space="preserve"> parcel.  However, the area of the building site is limited to the land upon which the abandoned building is located and the land immediately surrounding such building used for parking and other similar purposes directly related to the building</w:t>
      </w:r>
      <w:r w:rsidRPr="00A17DD6">
        <w:rPr>
          <w:color w:val="000000" w:themeColor="text1"/>
          <w:u w:color="000000" w:themeColor="text1"/>
        </w:rPr>
        <w:t>’</w:t>
      </w:r>
      <w:r w:rsidRPr="0075071B">
        <w:rPr>
          <w:color w:val="000000" w:themeColor="text1"/>
          <w:u w:color="000000" w:themeColor="text1"/>
        </w:rPr>
        <w:t xml:space="preserve">s income producing use.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(3)</w:t>
      </w:r>
      <w:r w:rsidRPr="0075071B">
        <w:rPr>
          <w:color w:val="000000" w:themeColor="text1"/>
          <w:u w:color="000000" w:themeColor="text1"/>
        </w:rPr>
        <w:tab/>
      </w:r>
      <w:r w:rsidRPr="00A17DD6">
        <w:rPr>
          <w:color w:val="000000" w:themeColor="text1"/>
          <w:u w:color="000000" w:themeColor="text1"/>
        </w:rPr>
        <w:t>‘</w:t>
      </w:r>
      <w:r w:rsidRPr="0075071B">
        <w:rPr>
          <w:color w:val="000000" w:themeColor="text1"/>
          <w:u w:color="000000" w:themeColor="text1"/>
        </w:rPr>
        <w:t>Local taxing entities</w:t>
      </w:r>
      <w:r w:rsidRPr="00A17DD6">
        <w:rPr>
          <w:color w:val="000000" w:themeColor="text1"/>
          <w:u w:color="000000" w:themeColor="text1"/>
        </w:rPr>
        <w:t>’</w:t>
      </w:r>
      <w:r w:rsidRPr="0075071B">
        <w:rPr>
          <w:color w:val="000000" w:themeColor="text1"/>
          <w:u w:color="000000" w:themeColor="text1"/>
        </w:rPr>
        <w:t xml:space="preserve"> means a county, municipality, school district, special purpose district, and other entity or district with the power to levy ad valorem property taxes against the building site.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(6)</w:t>
      </w:r>
      <w:r w:rsidRPr="0075071B">
        <w:rPr>
          <w:color w:val="000000" w:themeColor="text1"/>
          <w:u w:color="000000" w:themeColor="text1"/>
        </w:rPr>
        <w:tab/>
      </w:r>
      <w:r w:rsidRPr="00A17DD6">
        <w:rPr>
          <w:color w:val="000000" w:themeColor="text1"/>
          <w:u w:color="000000" w:themeColor="text1"/>
        </w:rPr>
        <w:t>‘</w:t>
      </w:r>
      <w:r w:rsidRPr="0075071B">
        <w:rPr>
          <w:color w:val="000000" w:themeColor="text1"/>
          <w:u w:color="000000" w:themeColor="text1"/>
        </w:rPr>
        <w:t>Local taxing entity ratio</w:t>
      </w:r>
      <w:r w:rsidRPr="00A17DD6">
        <w:rPr>
          <w:color w:val="000000" w:themeColor="text1"/>
          <w:u w:color="000000" w:themeColor="text1"/>
        </w:rPr>
        <w:t>’</w:t>
      </w:r>
      <w:r w:rsidRPr="0075071B">
        <w:rPr>
          <w:color w:val="000000" w:themeColor="text1"/>
          <w:u w:color="000000" w:themeColor="text1"/>
        </w:rPr>
        <w:t xml:space="preserve"> means that percentage computed by dividing the millage rate of each local taxing entity by the total millage rate for the building site.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(4)</w:t>
      </w:r>
      <w:r w:rsidRPr="0075071B">
        <w:rPr>
          <w:color w:val="000000" w:themeColor="text1"/>
          <w:u w:color="000000" w:themeColor="text1"/>
        </w:rPr>
        <w:tab/>
      </w:r>
      <w:r w:rsidRPr="00A17DD6">
        <w:rPr>
          <w:color w:val="000000" w:themeColor="text1"/>
          <w:u w:color="000000" w:themeColor="text1"/>
        </w:rPr>
        <w:t>‘</w:t>
      </w:r>
      <w:r w:rsidRPr="0075071B">
        <w:rPr>
          <w:color w:val="000000" w:themeColor="text1"/>
          <w:u w:color="000000" w:themeColor="text1"/>
        </w:rPr>
        <w:t>Placed in service</w:t>
      </w:r>
      <w:r w:rsidRPr="00A17DD6">
        <w:rPr>
          <w:color w:val="000000" w:themeColor="text1"/>
          <w:u w:color="000000" w:themeColor="text1"/>
        </w:rPr>
        <w:t>’</w:t>
      </w:r>
      <w:r w:rsidRPr="0075071B">
        <w:rPr>
          <w:color w:val="000000" w:themeColor="text1"/>
          <w:u w:color="000000" w:themeColor="text1"/>
        </w:rPr>
        <w:t xml:space="preserv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(5)</w:t>
      </w:r>
      <w:r w:rsidRPr="0075071B">
        <w:rPr>
          <w:color w:val="000000" w:themeColor="text1"/>
          <w:u w:color="000000" w:themeColor="text1"/>
        </w:rPr>
        <w:tab/>
      </w:r>
      <w:r w:rsidRPr="00A17DD6">
        <w:rPr>
          <w:color w:val="000000" w:themeColor="text1"/>
          <w:u w:color="000000" w:themeColor="text1"/>
        </w:rPr>
        <w:t>‘</w:t>
      </w:r>
      <w:r w:rsidRPr="0075071B">
        <w:rPr>
          <w:color w:val="000000" w:themeColor="text1"/>
          <w:u w:color="000000" w:themeColor="text1"/>
        </w:rPr>
        <w:t>Rehabilitation expenses</w:t>
      </w:r>
      <w:r w:rsidRPr="00A17DD6">
        <w:rPr>
          <w:color w:val="000000" w:themeColor="text1"/>
          <w:u w:color="000000" w:themeColor="text1"/>
        </w:rPr>
        <w:t>’</w:t>
      </w:r>
      <w:r w:rsidRPr="0075071B">
        <w:rPr>
          <w:color w:val="000000" w:themeColor="text1"/>
          <w:u w:color="000000" w:themeColor="text1"/>
        </w:rPr>
        <w:t xml:space="preserve"> means the expenses or capital expenditures incurred in the rehabilitation, renovation, or redevelopment of the building site, including without limitations, the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(6)</w:t>
      </w:r>
      <w:r w:rsidRPr="0075071B">
        <w:rPr>
          <w:color w:val="000000" w:themeColor="text1"/>
          <w:u w:color="000000" w:themeColor="text1"/>
        </w:rPr>
        <w:tab/>
      </w:r>
      <w:r w:rsidRPr="00A17DD6">
        <w:rPr>
          <w:color w:val="000000" w:themeColor="text1"/>
          <w:u w:color="000000" w:themeColor="text1"/>
        </w:rPr>
        <w:t>‘</w:t>
      </w:r>
      <w:r w:rsidRPr="0075071B">
        <w:rPr>
          <w:color w:val="000000" w:themeColor="text1"/>
          <w:u w:color="000000" w:themeColor="text1"/>
        </w:rPr>
        <w:t>Notice of Intent to Rehabilitate</w:t>
      </w:r>
      <w:r w:rsidRPr="00A17DD6">
        <w:rPr>
          <w:color w:val="000000" w:themeColor="text1"/>
          <w:u w:color="000000" w:themeColor="text1"/>
        </w:rPr>
        <w:t>’</w:t>
      </w:r>
      <w:r w:rsidRPr="0075071B">
        <w:rPr>
          <w:color w:val="000000" w:themeColor="text1"/>
          <w:u w:color="000000" w:themeColor="text1"/>
        </w:rPr>
        <w:t xml:space="preserve"> means a letter submitted by the taxpayer to the department or the municipality or county as specified in this chapter, indicating the taxpayer</w:t>
      </w:r>
      <w:r w:rsidRPr="00A17DD6">
        <w:rPr>
          <w:color w:val="000000" w:themeColor="text1"/>
          <w:u w:color="000000" w:themeColor="text1"/>
        </w:rPr>
        <w:t>’</w:t>
      </w:r>
      <w:r w:rsidRPr="0075071B">
        <w:rPr>
          <w:color w:val="000000" w:themeColor="text1"/>
          <w:u w:color="000000" w:themeColor="text1"/>
        </w:rPr>
        <w:t>s intent to rehabilitate the building site, the location of the building site, the amount of acreage involved in the building site, and the estimated expenses to be incurred in connection with rehabilitation of the building site.  The notice also must set forth information as to which buildings t</w:t>
      </w:r>
      <w:r>
        <w:rPr>
          <w:color w:val="000000" w:themeColor="text1"/>
          <w:u w:color="000000" w:themeColor="text1"/>
        </w:rPr>
        <w:t>he taxpayer intends to renovate</w:t>
      </w:r>
      <w:r w:rsidRPr="0075071B">
        <w:rPr>
          <w:color w:val="000000" w:themeColor="text1"/>
          <w:u w:color="000000" w:themeColor="text1"/>
        </w:rPr>
        <w:t xml:space="preserve"> and whether new construction is to be involved.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 xml:space="preserve">Section </w:t>
      </w:r>
      <w:r>
        <w:rPr>
          <w:color w:val="000000" w:themeColor="text1"/>
          <w:u w:color="000000" w:themeColor="text1"/>
        </w:rPr>
        <w:t>12</w:t>
      </w:r>
      <w:r>
        <w:rPr>
          <w:color w:val="000000" w:themeColor="text1"/>
          <w:u w:color="000000" w:themeColor="text1"/>
        </w:rPr>
        <w:noBreakHyphen/>
        <w:t>67</w:t>
      </w:r>
      <w:r>
        <w:rPr>
          <w:color w:val="000000" w:themeColor="text1"/>
          <w:u w:color="000000" w:themeColor="text1"/>
        </w:rPr>
        <w:noBreakHyphen/>
        <w:t xml:space="preserve">130. </w:t>
      </w:r>
      <w:r>
        <w:rPr>
          <w:color w:val="000000" w:themeColor="text1"/>
          <w:u w:color="000000" w:themeColor="text1"/>
        </w:rPr>
        <w:tab/>
      </w:r>
      <w:r w:rsidRPr="0075071B">
        <w:rPr>
          <w:color w:val="000000" w:themeColor="text1"/>
          <w:u w:color="000000" w:themeColor="text1"/>
        </w:rPr>
        <w:t xml:space="preserve">This </w:t>
      </w:r>
      <w:r>
        <w:rPr>
          <w:color w:val="000000" w:themeColor="text1"/>
          <w:u w:color="000000" w:themeColor="text1"/>
        </w:rPr>
        <w:t>chapter</w:t>
      </w:r>
      <w:r w:rsidRPr="0075071B">
        <w:rPr>
          <w:color w:val="000000" w:themeColor="text1"/>
          <w:u w:color="000000" w:themeColor="text1"/>
        </w:rPr>
        <w:t xml:space="preserve"> only applies to abandoned building sites</w:t>
      </w:r>
      <w:r>
        <w:rPr>
          <w:color w:val="000000" w:themeColor="text1"/>
          <w:u w:color="000000" w:themeColor="text1"/>
        </w:rPr>
        <w:t xml:space="preserve"> or phases or portions thereof put into operation</w:t>
      </w:r>
      <w:r w:rsidRPr="0075071B">
        <w:rPr>
          <w:color w:val="000000" w:themeColor="text1"/>
          <w:u w:color="000000" w:themeColor="text1"/>
        </w:rPr>
        <w:t xml:space="preserve"> in which a taxpayer incurs more than five hundred thousand dollars in rehabilitation expenses.</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67</w:t>
      </w:r>
      <w:r>
        <w:rPr>
          <w:color w:val="000000" w:themeColor="text1"/>
          <w:u w:color="000000" w:themeColor="text1"/>
        </w:rPr>
        <w:noBreakHyphen/>
        <w:t>140</w:t>
      </w:r>
      <w:r w:rsidRPr="0075071B">
        <w:rPr>
          <w:color w:val="000000" w:themeColor="text1"/>
          <w:u w:color="000000" w:themeColor="text1"/>
        </w:rPr>
        <w:t xml:space="preserve">. </w:t>
      </w:r>
      <w:r w:rsidRPr="0075071B">
        <w:rPr>
          <w:color w:val="000000" w:themeColor="text1"/>
          <w:u w:color="000000" w:themeColor="text1"/>
        </w:rPr>
        <w:tab/>
        <w:t>(A)</w:t>
      </w:r>
      <w:r w:rsidRPr="0075071B">
        <w:rPr>
          <w:color w:val="000000" w:themeColor="text1"/>
          <w:u w:color="000000" w:themeColor="text1"/>
        </w:rPr>
        <w:tab/>
        <w:t xml:space="preserve">Subject to the terms and conditions of this chapter, a taxpayer who rehabilitates an abandoned building is eligible for either: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(1)</w:t>
      </w:r>
      <w:r w:rsidRPr="0075071B">
        <w:rPr>
          <w:color w:val="000000" w:themeColor="text1"/>
          <w:u w:color="000000" w:themeColor="text1"/>
        </w:rPr>
        <w:tab/>
        <w:t xml:space="preserve">a credit against income taxes imposed pursuant to Chapter 6 and Chapter 11 of this title or corporate license fees pursuant to Chapter 20 of this title, or both;  or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(2)</w:t>
      </w:r>
      <w:r w:rsidRPr="0075071B">
        <w:rPr>
          <w:color w:val="000000" w:themeColor="text1"/>
          <w:u w:color="000000" w:themeColor="text1"/>
        </w:rPr>
        <w:tab/>
        <w:t xml:space="preserve">a credit against real property taxes levied by local taxing entities.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(B)</w:t>
      </w:r>
      <w:r w:rsidRPr="0075071B">
        <w:rPr>
          <w:color w:val="000000" w:themeColor="text1"/>
          <w:u w:color="000000" w:themeColor="text1"/>
        </w:rPr>
        <w:tab/>
        <w:t xml:space="preserve">If the taxpayer elects to receive the credit pursuant to subsection (A)(1), the following provisions apply: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(1)</w:t>
      </w:r>
      <w:r w:rsidRPr="0075071B">
        <w:rPr>
          <w:color w:val="000000" w:themeColor="text1"/>
          <w:u w:color="000000" w:themeColor="text1"/>
        </w:rPr>
        <w:tab/>
        <w:t xml:space="preserve">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(2)</w:t>
      </w:r>
      <w:r w:rsidRPr="0075071B">
        <w:rPr>
          <w:color w:val="000000" w:themeColor="text1"/>
          <w:u w:color="000000" w:themeColor="text1"/>
        </w:rPr>
        <w:tab/>
        <w:t>The amount of the credit is equal to twenty</w:t>
      </w:r>
      <w:r>
        <w:rPr>
          <w:color w:val="000000" w:themeColor="text1"/>
          <w:u w:color="000000" w:themeColor="text1"/>
        </w:rPr>
        <w:noBreakHyphen/>
      </w:r>
      <w:r w:rsidRPr="0075071B">
        <w:rPr>
          <w:color w:val="000000" w:themeColor="text1"/>
          <w:u w:color="000000" w:themeColor="text1"/>
        </w:rPr>
        <w:t>five percent of the actual rehabilitation expenses incurred at the building site if the actual rehabilitation expenses incurred in rehabilitating the building site are between eighty percent and one hundred twenty</w:t>
      </w:r>
      <w:r>
        <w:rPr>
          <w:color w:val="000000" w:themeColor="text1"/>
          <w:u w:color="000000" w:themeColor="text1"/>
        </w:rPr>
        <w:noBreakHyphen/>
      </w:r>
      <w:r w:rsidRPr="0075071B">
        <w:rPr>
          <w:color w:val="000000" w:themeColor="text1"/>
          <w:u w:color="000000" w:themeColor="text1"/>
        </w:rPr>
        <w:t>five percent of the estimated rehabilitation expenses set forth in the Notice of Intent to Rehabilitate.  If the actual rehabilitation expenses exceed one hundred twenty</w:t>
      </w:r>
      <w:r>
        <w:rPr>
          <w:color w:val="000000" w:themeColor="text1"/>
          <w:u w:color="000000" w:themeColor="text1"/>
        </w:rPr>
        <w:noBreakHyphen/>
      </w:r>
      <w:r w:rsidRPr="0075071B">
        <w:rPr>
          <w:color w:val="000000" w:themeColor="text1"/>
          <w:u w:color="000000" w:themeColor="text1"/>
        </w:rPr>
        <w:t>five percent of the estimated expenses set forth in the Notice of Intent to Rehabilitate, the taxpayer qualifies for the credit based on one hundred twenty</w:t>
      </w:r>
      <w:r>
        <w:rPr>
          <w:color w:val="000000" w:themeColor="text1"/>
          <w:u w:color="000000" w:themeColor="text1"/>
        </w:rPr>
        <w:noBreakHyphen/>
      </w:r>
      <w:r w:rsidRPr="0075071B">
        <w:rPr>
          <w:color w:val="000000" w:themeColor="text1"/>
          <w:u w:color="000000" w:themeColor="text1"/>
        </w:rPr>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(3)</w:t>
      </w:r>
      <w:r w:rsidRPr="0075071B">
        <w:rPr>
          <w:color w:val="000000" w:themeColor="text1"/>
          <w:u w:color="000000" w:themeColor="text1"/>
        </w:rPr>
        <w:tab/>
        <w:t>The entire credit is earned in the taxable year in which the applicable phase or portion of the building site is placed in service but must be taken in equal installments over a five</w:t>
      </w:r>
      <w:r>
        <w:rPr>
          <w:color w:val="000000" w:themeColor="text1"/>
          <w:u w:color="000000" w:themeColor="text1"/>
        </w:rPr>
        <w:noBreakHyphen/>
      </w:r>
      <w:r w:rsidRPr="0075071B">
        <w:rPr>
          <w:color w:val="000000" w:themeColor="text1"/>
          <w:u w:color="000000" w:themeColor="text1"/>
        </w:rPr>
        <w:t xml:space="preserve">year period beginning with the tax year in which the applicable phase or portion of the building site is placed in service.  Unused credit may be carried forward for the succeeding five years.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(4)</w:t>
      </w:r>
      <w:r w:rsidRPr="0075071B">
        <w:rPr>
          <w:color w:val="000000" w:themeColor="text1"/>
          <w:u w:color="000000" w:themeColor="text1"/>
        </w:rPr>
        <w:tab/>
        <w:t>If the taxpayer qualifies for both the credit allowed by this section and the credit allowed pursuant to the Textiles Communities Revitalization Act, the taxpayer only</w:t>
      </w:r>
      <w:r>
        <w:rPr>
          <w:color w:val="000000" w:themeColor="text1"/>
          <w:u w:color="000000" w:themeColor="text1"/>
        </w:rPr>
        <w:t xml:space="preserve"> may</w:t>
      </w:r>
      <w:r w:rsidRPr="0075071B">
        <w:rPr>
          <w:color w:val="000000" w:themeColor="text1"/>
          <w:u w:color="000000" w:themeColor="text1"/>
        </w:rPr>
        <w:t xml:space="preserve"> claim one of the two credits.  However, the taxpayer </w:t>
      </w:r>
      <w:r>
        <w:rPr>
          <w:color w:val="000000" w:themeColor="text1"/>
          <w:u w:color="000000" w:themeColor="text1"/>
        </w:rPr>
        <w:t>is</w:t>
      </w:r>
      <w:r w:rsidRPr="0075071B">
        <w:rPr>
          <w:color w:val="000000" w:themeColor="text1"/>
          <w:u w:color="000000" w:themeColor="text1"/>
        </w:rPr>
        <w:t xml:space="preserve"> not disqualified from claiming any other tax credit in conjunction with the credit allowed by this section.</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(5)</w:t>
      </w:r>
      <w:r w:rsidRPr="0075071B">
        <w:rPr>
          <w:color w:val="000000" w:themeColor="text1"/>
          <w:u w:color="000000" w:themeColor="text1"/>
        </w:rPr>
        <w:tab/>
        <w:t xml:space="preserve">The credit allowed by this subsection is limited in use to fifty percent of either: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(a)</w:t>
      </w:r>
      <w:r w:rsidRPr="0075071B">
        <w:rPr>
          <w:color w:val="000000" w:themeColor="text1"/>
          <w:u w:color="000000" w:themeColor="text1"/>
        </w:rPr>
        <w:tab/>
        <w:t>the taxpayer</w:t>
      </w:r>
      <w:r w:rsidRPr="00A17DD6">
        <w:rPr>
          <w:color w:val="000000" w:themeColor="text1"/>
          <w:u w:color="000000" w:themeColor="text1"/>
        </w:rPr>
        <w:t>’</w:t>
      </w:r>
      <w:r w:rsidRPr="0075071B">
        <w:rPr>
          <w:color w:val="000000" w:themeColor="text1"/>
          <w:u w:color="000000" w:themeColor="text1"/>
        </w:rPr>
        <w:t>s income tax liability for the taxable year if taxpayer claims the credit allowed by this section as a credit against income tax imposed pursuant to Chapter 6 or Chapter 11 of this title; or</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(b)</w:t>
      </w:r>
      <w:r w:rsidRPr="0075071B">
        <w:rPr>
          <w:color w:val="000000" w:themeColor="text1"/>
          <w:u w:color="000000" w:themeColor="text1"/>
        </w:rPr>
        <w:tab/>
        <w:t>the taxpayer</w:t>
      </w:r>
      <w:r w:rsidRPr="00A17DD6">
        <w:rPr>
          <w:color w:val="000000" w:themeColor="text1"/>
          <w:u w:color="000000" w:themeColor="text1"/>
        </w:rPr>
        <w:t>’</w:t>
      </w:r>
      <w:r w:rsidRPr="0075071B">
        <w:rPr>
          <w:color w:val="000000" w:themeColor="text1"/>
          <w:u w:color="000000" w:themeColor="text1"/>
        </w:rPr>
        <w:t xml:space="preserve">s corporate license fees for the taxable year if the taxpayer claims the credit allowed by this section as a credit against license fees imposed pursuant to Chapter 20.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(6)(a)</w:t>
      </w:r>
      <w:r w:rsidRPr="0075071B">
        <w:rPr>
          <w:color w:val="000000" w:themeColor="text1"/>
          <w:u w:color="000000" w:themeColor="text1"/>
        </w:rPr>
        <w:tab/>
        <w:t xml:space="preserve">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(b)</w:t>
      </w:r>
      <w:r w:rsidRPr="0075071B">
        <w:rPr>
          <w:color w:val="000000" w:themeColor="text1"/>
          <w:u w:color="000000" w:themeColor="text1"/>
        </w:rPr>
        <w:tab/>
        <w:t xml:space="preserve">To the extent that the taxpayer transfers the credit, the taxpayer </w:t>
      </w:r>
      <w:r>
        <w:rPr>
          <w:color w:val="000000" w:themeColor="text1"/>
          <w:u w:color="000000" w:themeColor="text1"/>
        </w:rPr>
        <w:t>shall</w:t>
      </w:r>
      <w:r w:rsidRPr="0075071B">
        <w:rPr>
          <w:color w:val="000000" w:themeColor="text1"/>
          <w:u w:color="000000" w:themeColor="text1"/>
        </w:rPr>
        <w:t xml:space="preserve"> notify the department of the transfer in the manner the department prescribes. </w:t>
      </w:r>
    </w:p>
    <w:p w:rsidR="0069507C"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(7)</w:t>
      </w:r>
      <w:r w:rsidRPr="0075071B">
        <w:rPr>
          <w:color w:val="000000" w:themeColor="text1"/>
          <w:u w:color="000000" w:themeColor="text1"/>
        </w:rPr>
        <w:tab/>
        <w:t xml:space="preserve">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w:t>
      </w:r>
      <w:r>
        <w:rPr>
          <w:color w:val="000000" w:themeColor="text1"/>
          <w:u w:color="000000" w:themeColor="text1"/>
        </w:rPr>
        <w:t>the</w:t>
      </w:r>
      <w:r w:rsidRPr="0075071B">
        <w:rPr>
          <w:color w:val="000000" w:themeColor="text1"/>
          <w:u w:color="000000" w:themeColor="text1"/>
        </w:rPr>
        <w:t xml:space="preserve"> allocation, including, without limitation, the treatment of </w:t>
      </w:r>
      <w:r>
        <w:rPr>
          <w:color w:val="000000" w:themeColor="text1"/>
          <w:u w:color="000000" w:themeColor="text1"/>
        </w:rPr>
        <w:t>the</w:t>
      </w:r>
      <w:r w:rsidRPr="0075071B">
        <w:rPr>
          <w:color w:val="000000" w:themeColor="text1"/>
          <w:u w:color="000000" w:themeColor="text1"/>
        </w:rPr>
        <w:t xml:space="preserve"> allocation as a disguised sale.</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(C)</w:t>
      </w:r>
      <w:r w:rsidRPr="0075071B">
        <w:rPr>
          <w:color w:val="000000" w:themeColor="text1"/>
          <w:u w:color="000000" w:themeColor="text1"/>
        </w:rPr>
        <w:tab/>
        <w:t xml:space="preserve">If the taxpayer elects to receive the credit pursuant to subsection (A)(2), the following provisions apply: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(1)</w:t>
      </w:r>
      <w:r w:rsidRPr="0075071B">
        <w:rPr>
          <w:color w:val="000000" w:themeColor="text1"/>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qualification of only those rehabilitation expenses incurred after notice is provided.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(2)</w:t>
      </w:r>
      <w:r w:rsidRPr="0075071B">
        <w:rPr>
          <w:color w:val="000000" w:themeColor="text1"/>
          <w:u w:color="000000" w:themeColor="text1"/>
        </w:rPr>
        <w:tab/>
        <w:t xml:space="preserve">Once the Notice of Intent to Rehabilitate has been provided to the county or municipality, the municipality or the county </w:t>
      </w:r>
      <w:r>
        <w:rPr>
          <w:color w:val="000000" w:themeColor="text1"/>
          <w:u w:color="000000" w:themeColor="text1"/>
        </w:rPr>
        <w:t xml:space="preserve">first </w:t>
      </w:r>
      <w:r w:rsidRPr="0075071B">
        <w:rPr>
          <w:color w:val="000000" w:themeColor="text1"/>
          <w:u w:color="000000" w:themeColor="text1"/>
        </w:rPr>
        <w:t xml:space="preserve">shall </w:t>
      </w:r>
      <w:r>
        <w:rPr>
          <w:color w:val="000000" w:themeColor="text1"/>
          <w:u w:color="000000" w:themeColor="text1"/>
        </w:rPr>
        <w:t xml:space="preserve">determine, </w:t>
      </w:r>
      <w:r w:rsidRPr="0075071B">
        <w:rPr>
          <w:color w:val="000000" w:themeColor="text1"/>
          <w:u w:color="000000" w:themeColor="text1"/>
        </w:rPr>
        <w:t>by resolution</w:t>
      </w:r>
      <w:r>
        <w:rPr>
          <w:color w:val="000000" w:themeColor="text1"/>
          <w:u w:color="000000" w:themeColor="text1"/>
        </w:rPr>
        <w:t>,</w:t>
      </w:r>
      <w:r w:rsidRPr="0075071B">
        <w:rPr>
          <w:color w:val="000000" w:themeColor="text1"/>
          <w:u w:color="000000" w:themeColor="text1"/>
        </w:rPr>
        <w:t xml:space="preserve"> the eligibility of the building site and the proposed rehabilitation expenses for the credit.  A proposed rehabilitation of a building site must be approved by a positive majority vote of the local governing body.  For purposes of this subsection, </w:t>
      </w:r>
      <w:r w:rsidRPr="00A17DD6">
        <w:rPr>
          <w:color w:val="000000" w:themeColor="text1"/>
          <w:u w:color="000000" w:themeColor="text1"/>
        </w:rPr>
        <w:t>‘</w:t>
      </w:r>
      <w:r w:rsidRPr="0075071B">
        <w:rPr>
          <w:color w:val="000000" w:themeColor="text1"/>
          <w:u w:color="000000" w:themeColor="text1"/>
        </w:rPr>
        <w:t>positive majority vote</w:t>
      </w:r>
      <w:r w:rsidRPr="00A17DD6">
        <w:rPr>
          <w:color w:val="000000" w:themeColor="text1"/>
          <w:u w:color="000000" w:themeColor="text1"/>
        </w:rPr>
        <w:t>’</w:t>
      </w:r>
      <w:r w:rsidRPr="0075071B">
        <w:rPr>
          <w:color w:val="000000" w:themeColor="text1"/>
          <w:u w:color="000000" w:themeColor="text1"/>
        </w:rPr>
        <w:t xml:space="preserve"> is as defined in Section 6</w:t>
      </w:r>
      <w:r>
        <w:rPr>
          <w:color w:val="000000" w:themeColor="text1"/>
          <w:u w:color="000000" w:themeColor="text1"/>
        </w:rPr>
        <w:noBreakHyphen/>
      </w:r>
      <w:r w:rsidRPr="0075071B">
        <w:rPr>
          <w:color w:val="000000" w:themeColor="text1"/>
          <w:u w:color="000000" w:themeColor="text1"/>
        </w:rPr>
        <w:t>1</w:t>
      </w:r>
      <w:r>
        <w:rPr>
          <w:color w:val="000000" w:themeColor="text1"/>
          <w:u w:color="000000" w:themeColor="text1"/>
        </w:rPr>
        <w:noBreakHyphen/>
      </w:r>
      <w:r w:rsidRPr="0075071B">
        <w:rPr>
          <w:color w:val="000000" w:themeColor="text1"/>
          <w:u w:color="000000" w:themeColor="text1"/>
        </w:rPr>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(3)(a)</w:t>
      </w:r>
      <w:r w:rsidRPr="0075071B">
        <w:rPr>
          <w:color w:val="000000" w:themeColor="text1"/>
          <w:u w:color="000000" w:themeColor="text1"/>
        </w:rPr>
        <w:tab/>
        <w:t>The amount of the credit is equal to twenty</w:t>
      </w:r>
      <w:r>
        <w:rPr>
          <w:color w:val="000000" w:themeColor="text1"/>
          <w:u w:color="000000" w:themeColor="text1"/>
        </w:rPr>
        <w:noBreakHyphen/>
      </w:r>
      <w:r w:rsidRPr="0075071B">
        <w:rPr>
          <w:color w:val="000000" w:themeColor="text1"/>
          <w:u w:color="000000" w:themeColor="text1"/>
        </w:rPr>
        <w:t>five percent of the actual rehabilitation expenses incurred at the building site times the local taxing entity ratio of each local taxing entity that has consented to the credit pursuant to item (4), if the actual rehabilitation expenses incurred in rehabilitating the building site are between eighty percent and one hundred twenty</w:t>
      </w:r>
      <w:r>
        <w:rPr>
          <w:color w:val="000000" w:themeColor="text1"/>
          <w:u w:color="000000" w:themeColor="text1"/>
        </w:rPr>
        <w:noBreakHyphen/>
      </w:r>
      <w:r w:rsidRPr="0075071B">
        <w:rPr>
          <w:color w:val="000000" w:themeColor="text1"/>
          <w:u w:color="000000" w:themeColor="text1"/>
        </w:rPr>
        <w:t>five percent of the estimated rehabilitation expenses set forth in the Notice of Intent to Rehabilitate.  If the actual rehabilitation expenses exceed one hundred twenty</w:t>
      </w:r>
      <w:r>
        <w:rPr>
          <w:color w:val="000000" w:themeColor="text1"/>
          <w:u w:color="000000" w:themeColor="text1"/>
        </w:rPr>
        <w:noBreakHyphen/>
      </w:r>
      <w:r w:rsidRPr="0075071B">
        <w:rPr>
          <w:color w:val="000000" w:themeColor="text1"/>
          <w:u w:color="000000" w:themeColor="text1"/>
        </w:rPr>
        <w:t>five percent of the estimated expenses set forth in the Notice of Intent to Rehabilitate, the taxpayer qualifies for the credit based on one hundred twenty</w:t>
      </w:r>
      <w:r>
        <w:rPr>
          <w:color w:val="000000" w:themeColor="text1"/>
          <w:u w:color="000000" w:themeColor="text1"/>
        </w:rPr>
        <w:noBreakHyphen/>
      </w:r>
      <w:r w:rsidRPr="0075071B">
        <w:rPr>
          <w:color w:val="000000" w:themeColor="text1"/>
          <w:u w:color="000000" w:themeColor="text1"/>
        </w:rPr>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Pr>
          <w:color w:val="000000" w:themeColor="text1"/>
          <w:u w:color="000000" w:themeColor="text1"/>
        </w:rPr>
        <w:noBreakHyphen/>
      </w:r>
      <w:r w:rsidRPr="0075071B">
        <w:rPr>
          <w:color w:val="000000" w:themeColor="text1"/>
          <w:u w:color="000000" w:themeColor="text1"/>
        </w:rPr>
        <w:t xml:space="preserve">five percent of the real property taxes due on the building site each year for up to eight years.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(b)</w:t>
      </w:r>
      <w:r w:rsidRPr="0075071B">
        <w:rPr>
          <w:color w:val="000000" w:themeColor="text1"/>
          <w:u w:color="000000" w:themeColor="text1"/>
        </w:rPr>
        <w:tab/>
        <w:t xml:space="preserve">The local taxing entity ratio is set as of the time the Notice of Intent to Rehabilitate is filed and remains set for the entire period that the credit may be claimed by the taxpayer.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(4)</w:t>
      </w:r>
      <w:r w:rsidRPr="0075071B">
        <w:rPr>
          <w:color w:val="000000" w:themeColor="text1"/>
          <w:u w:color="000000" w:themeColor="text1"/>
        </w:rPr>
        <w:tab/>
        <w:t>Not fewer than forty</w:t>
      </w:r>
      <w:r>
        <w:rPr>
          <w:color w:val="000000" w:themeColor="text1"/>
          <w:u w:color="000000" w:themeColor="text1"/>
        </w:rPr>
        <w:noBreakHyphen/>
      </w:r>
      <w:r w:rsidRPr="0075071B">
        <w:rPr>
          <w:color w:val="000000" w:themeColor="text1"/>
          <w:u w:color="000000" w:themeColor="text1"/>
        </w:rPr>
        <w:t xml:space="preserve">five days before holding the public hearing required by subsection (C)(2), the governing body of the municipality or county shall give notice to all affected local taxing entities in which the building site is located of its intention to grant a credit against real property taxes for the building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(5)</w:t>
      </w:r>
      <w:r w:rsidRPr="0075071B">
        <w:rPr>
          <w:color w:val="000000" w:themeColor="text1"/>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(D)</w:t>
      </w:r>
      <w:r w:rsidRPr="0075071B">
        <w:rPr>
          <w:color w:val="000000" w:themeColor="text1"/>
          <w:u w:color="000000" w:themeColor="text1"/>
        </w:rPr>
        <w:tab/>
        <w:t>A taxpayer is not eligible for the credit if the taxpayer owned the otherwise eligible building site when the site was operational and immediately prior to its abandonment.</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Pr>
          <w:color w:val="000000" w:themeColor="text1"/>
          <w:u w:color="000000" w:themeColor="text1"/>
        </w:rPr>
        <w:t>Section</w:t>
      </w:r>
      <w:r>
        <w:rPr>
          <w:color w:val="000000" w:themeColor="text1"/>
          <w:u w:color="000000" w:themeColor="text1"/>
        </w:rPr>
        <w:tab/>
        <w:t>12</w:t>
      </w:r>
      <w:r>
        <w:rPr>
          <w:color w:val="000000" w:themeColor="text1"/>
          <w:u w:color="000000" w:themeColor="text1"/>
        </w:rPr>
        <w:noBreakHyphen/>
        <w:t>67</w:t>
      </w:r>
      <w:r>
        <w:rPr>
          <w:color w:val="000000" w:themeColor="text1"/>
          <w:u w:color="000000" w:themeColor="text1"/>
        </w:rPr>
        <w:noBreakHyphen/>
        <w:t>1</w:t>
      </w:r>
      <w:r w:rsidRPr="0075071B">
        <w:rPr>
          <w:color w:val="000000" w:themeColor="text1"/>
          <w:u w:color="000000" w:themeColor="text1"/>
        </w:rPr>
        <w:t>5</w:t>
      </w:r>
      <w:r>
        <w:rPr>
          <w:color w:val="000000" w:themeColor="text1"/>
          <w:u w:color="000000" w:themeColor="text1"/>
        </w:rPr>
        <w:t>0</w:t>
      </w:r>
      <w:r w:rsidRPr="0075071B">
        <w:rPr>
          <w:color w:val="000000" w:themeColor="text1"/>
          <w:u w:color="000000" w:themeColor="text1"/>
        </w:rPr>
        <w:t xml:space="preserve">. </w:t>
      </w:r>
      <w:r w:rsidRPr="0075071B">
        <w:rPr>
          <w:color w:val="000000" w:themeColor="text1"/>
          <w:u w:color="000000" w:themeColor="text1"/>
        </w:rPr>
        <w:tab/>
        <w:t>The provisions of Chapter 31, Title 6 also apply to this c</w:t>
      </w:r>
      <w:r>
        <w:rPr>
          <w:color w:val="000000" w:themeColor="text1"/>
          <w:u w:color="000000" w:themeColor="text1"/>
        </w:rPr>
        <w:t>hapter, except that</w:t>
      </w:r>
      <w:r w:rsidRPr="0075071B">
        <w:rPr>
          <w:color w:val="000000" w:themeColor="text1"/>
          <w:u w:color="000000" w:themeColor="text1"/>
        </w:rPr>
        <w:t xml:space="preserve"> the requirements of Section 6</w:t>
      </w:r>
      <w:r>
        <w:rPr>
          <w:color w:val="000000" w:themeColor="text1"/>
          <w:u w:color="000000" w:themeColor="text1"/>
        </w:rPr>
        <w:noBreakHyphen/>
      </w:r>
      <w:r w:rsidRPr="0075071B">
        <w:rPr>
          <w:color w:val="000000" w:themeColor="text1"/>
          <w:u w:color="000000" w:themeColor="text1"/>
        </w:rPr>
        <w:t>31</w:t>
      </w:r>
      <w:r>
        <w:rPr>
          <w:color w:val="000000" w:themeColor="text1"/>
          <w:u w:color="000000" w:themeColor="text1"/>
        </w:rPr>
        <w:noBreakHyphen/>
      </w:r>
      <w:r w:rsidRPr="0075071B">
        <w:rPr>
          <w:color w:val="000000" w:themeColor="text1"/>
          <w:u w:color="000000" w:themeColor="text1"/>
        </w:rPr>
        <w:t>40 do not apply.</w:t>
      </w:r>
      <w:r>
        <w:rPr>
          <w:color w:val="000000" w:themeColor="text1"/>
          <w:u w:color="000000" w:themeColor="text1"/>
        </w:rPr>
        <w:t>”</w:t>
      </w:r>
    </w:p>
    <w:p w:rsidR="0069507C" w:rsidRPr="0075071B"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07C" w:rsidRDefault="0069507C"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71B">
        <w:rPr>
          <w:color w:val="000000" w:themeColor="text1"/>
          <w:u w:color="000000" w:themeColor="text1"/>
        </w:rPr>
        <w:tab/>
      </w:r>
      <w:r>
        <w:rPr>
          <w:color w:val="000000" w:themeColor="text1"/>
          <w:u w:color="000000" w:themeColor="text1"/>
        </w:rPr>
        <w:t>SECTION</w:t>
      </w:r>
      <w:r>
        <w:rPr>
          <w:color w:val="000000" w:themeColor="text1"/>
          <w:u w:color="000000" w:themeColor="text1"/>
        </w:rPr>
        <w:tab/>
        <w:t>2</w:t>
      </w:r>
      <w:r w:rsidRPr="0075071B">
        <w:rPr>
          <w:color w:val="000000" w:themeColor="text1"/>
          <w:u w:color="000000" w:themeColor="text1"/>
        </w:rPr>
        <w:t>.</w:t>
      </w:r>
      <w:r w:rsidRPr="0075071B">
        <w:rPr>
          <w:color w:val="000000" w:themeColor="text1"/>
          <w:u w:color="000000" w:themeColor="text1"/>
        </w:rPr>
        <w:tab/>
        <w:t>This act takes effect upon approval by the Governor.</w:t>
      </w:r>
    </w:p>
    <w:p w:rsidR="0069507C" w:rsidRDefault="006950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5F9C" w:rsidRDefault="00B65F9C" w:rsidP="0069507C">
      <w:pPr>
        <w:pStyle w:val="BillDots"/>
      </w:pPr>
    </w:p>
    <w:sectPr w:rsidR="00B65F9C" w:rsidSect="00AC1F83">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806" w:rsidRDefault="00771806" w:rsidP="009F0C77">
      <w:r>
        <w:separator/>
      </w:r>
    </w:p>
  </w:endnote>
  <w:endnote w:type="continuationSeparator" w:id="0">
    <w:p w:rsidR="00771806" w:rsidRDefault="007718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D6E414-8C21-4B19-A78F-B1CA33886926}"/>
    <w:embedBold r:id="rId2" w:fontKey="{22BEF87B-1289-40BE-B15D-F1FF79A1BECD}"/>
  </w:font>
  <w:font w:name="Calibri">
    <w:panose1 w:val="020F0502020204030204"/>
    <w:charset w:val="00"/>
    <w:family w:val="swiss"/>
    <w:pitch w:val="variable"/>
    <w:sig w:usb0="E10002FF" w:usb1="4000ACFF" w:usb2="00000009" w:usb3="00000000" w:csb0="0000019F" w:csb1="00000000"/>
    <w:embedRegular r:id="rId3" w:fontKey="{2A28CBE1-CD15-45B1-8546-4CCA261969DD}"/>
  </w:font>
  <w:font w:name="Arial">
    <w:panose1 w:val="020B0604020202020204"/>
    <w:charset w:val="00"/>
    <w:family w:val="swiss"/>
    <w:pitch w:val="variable"/>
    <w:sig w:usb0="20002A87" w:usb1="80000000" w:usb2="00000008" w:usb3="00000000" w:csb0="000001FF" w:csb1="00000000"/>
    <w:embedBold r:id="rId4" w:fontKey="{C4EEE132-FFAE-402C-A5E1-FDD04277D325}"/>
  </w:font>
  <w:font w:name="Cambria">
    <w:panose1 w:val="02040503050406030204"/>
    <w:charset w:val="00"/>
    <w:family w:val="roman"/>
    <w:pitch w:val="variable"/>
    <w:sig w:usb0="E00002FF" w:usb1="400004FF" w:usb2="00000000" w:usb3="00000000" w:csb0="0000019F" w:csb1="00000000"/>
    <w:embedRegular r:id="rId5" w:fontKey="{E34344CE-3790-43BF-8A50-F88143F60F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07C" w:rsidRPr="00B65F9C" w:rsidRDefault="0069507C" w:rsidP="00B65F9C">
    <w:pPr>
      <w:pStyle w:val="Footer"/>
      <w:tabs>
        <w:tab w:val="clear" w:pos="4680"/>
        <w:tab w:val="clear" w:pos="9360"/>
        <w:tab w:val="center" w:pos="2995"/>
      </w:tabs>
      <w:spacing w:before="120"/>
    </w:pPr>
    <w:r>
      <w:t>[4802-</w:t>
    </w:r>
    <w:r w:rsidR="00ED1A88">
      <w:fldChar w:fldCharType="begin"/>
    </w:r>
    <w:r w:rsidR="00ED1A88">
      <w:instrText xml:space="preserve"> PAGE  \* MERGEFORMAT </w:instrText>
    </w:r>
    <w:r w:rsidR="00ED1A88">
      <w:fldChar w:fldCharType="separate"/>
    </w:r>
    <w:r w:rsidR="00ED1A88">
      <w:rPr>
        <w:noProof/>
      </w:rPr>
      <w:t>1</w:t>
    </w:r>
    <w:r w:rsidR="00ED1A8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41C" w:rsidRPr="00B65F9C" w:rsidRDefault="0069507C" w:rsidP="00B65F9C">
    <w:pPr>
      <w:pStyle w:val="Footer"/>
      <w:tabs>
        <w:tab w:val="clear" w:pos="4680"/>
        <w:tab w:val="clear" w:pos="9360"/>
        <w:tab w:val="center" w:pos="2995"/>
      </w:tabs>
      <w:spacing w:before="120"/>
    </w:pPr>
    <w:r>
      <w:t>[4802]</w:t>
    </w:r>
    <w:r>
      <w:tab/>
    </w:r>
    <w:r w:rsidR="00BB6479">
      <w:fldChar w:fldCharType="begin"/>
    </w:r>
    <w:r>
      <w:instrText xml:space="preserve"> PAGE  \* MERGEFORMAT </w:instrText>
    </w:r>
    <w:r w:rsidR="00BB6479">
      <w:fldChar w:fldCharType="separate"/>
    </w:r>
    <w:r>
      <w:rPr>
        <w:noProof/>
      </w:rPr>
      <w:t>7</w:t>
    </w:r>
    <w:r w:rsidR="00BB647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806" w:rsidRDefault="00771806" w:rsidP="009F0C77">
      <w:r>
        <w:separator/>
      </w:r>
    </w:p>
  </w:footnote>
  <w:footnote w:type="continuationSeparator" w:id="0">
    <w:p w:rsidR="00771806" w:rsidRDefault="007718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54SD12"/>
    <w:docVar w:name="CoverBillType" w:val="b"/>
    <w:docVar w:name="docpath" w:val="L:\Council\bills\DKA\3954SD12.DOCX"/>
    <w:docVar w:name="dvBillNumber" w:val="4802"/>
    <w:docVar w:name="dvBillNumberPrefix" w:val="H. "/>
    <w:docVar w:name="dvOriginalBody" w:val="House"/>
    <w:docVar w:name="dvSteno" w:val="DKA"/>
    <w:docVar w:name="NameofBody" w:val="h"/>
    <w:docVar w:name="vgroup2" w:val="Council"/>
  </w:docVars>
  <w:rsids>
    <w:rsidRoot w:val="003E5399"/>
    <w:rsid w:val="00011869"/>
    <w:rsid w:val="000507FF"/>
    <w:rsid w:val="000629B1"/>
    <w:rsid w:val="000645EF"/>
    <w:rsid w:val="000E1785"/>
    <w:rsid w:val="000F40FA"/>
    <w:rsid w:val="00106644"/>
    <w:rsid w:val="0010776B"/>
    <w:rsid w:val="0012686A"/>
    <w:rsid w:val="00133E66"/>
    <w:rsid w:val="001435A3"/>
    <w:rsid w:val="00143AFD"/>
    <w:rsid w:val="0018355F"/>
    <w:rsid w:val="00196565"/>
    <w:rsid w:val="001D08F2"/>
    <w:rsid w:val="001D525B"/>
    <w:rsid w:val="001D7F4F"/>
    <w:rsid w:val="00207E58"/>
    <w:rsid w:val="00212568"/>
    <w:rsid w:val="002321B6"/>
    <w:rsid w:val="00243646"/>
    <w:rsid w:val="00250967"/>
    <w:rsid w:val="002543C8"/>
    <w:rsid w:val="00284AAE"/>
    <w:rsid w:val="002C1B06"/>
    <w:rsid w:val="002E5912"/>
    <w:rsid w:val="00325348"/>
    <w:rsid w:val="0032732C"/>
    <w:rsid w:val="00336AD0"/>
    <w:rsid w:val="0037079A"/>
    <w:rsid w:val="003D01E8"/>
    <w:rsid w:val="003E5288"/>
    <w:rsid w:val="003E5399"/>
    <w:rsid w:val="003F6D79"/>
    <w:rsid w:val="0041760A"/>
    <w:rsid w:val="00417C01"/>
    <w:rsid w:val="004809EE"/>
    <w:rsid w:val="004C469C"/>
    <w:rsid w:val="004E7D54"/>
    <w:rsid w:val="00500E0D"/>
    <w:rsid w:val="005273C6"/>
    <w:rsid w:val="00530A69"/>
    <w:rsid w:val="00531781"/>
    <w:rsid w:val="00545593"/>
    <w:rsid w:val="00551B78"/>
    <w:rsid w:val="00577C6C"/>
    <w:rsid w:val="00592E9A"/>
    <w:rsid w:val="005A64AD"/>
    <w:rsid w:val="005C2FE2"/>
    <w:rsid w:val="005E2BC9"/>
    <w:rsid w:val="00605102"/>
    <w:rsid w:val="006215AA"/>
    <w:rsid w:val="0065428A"/>
    <w:rsid w:val="006913C9"/>
    <w:rsid w:val="0069470D"/>
    <w:rsid w:val="0069507C"/>
    <w:rsid w:val="006C047E"/>
    <w:rsid w:val="006F4B13"/>
    <w:rsid w:val="00720E7B"/>
    <w:rsid w:val="00734F00"/>
    <w:rsid w:val="00771806"/>
    <w:rsid w:val="0079048D"/>
    <w:rsid w:val="007A70AE"/>
    <w:rsid w:val="007E1396"/>
    <w:rsid w:val="007E41E0"/>
    <w:rsid w:val="008362E8"/>
    <w:rsid w:val="00845D87"/>
    <w:rsid w:val="008829BA"/>
    <w:rsid w:val="008A1768"/>
    <w:rsid w:val="008B7E5F"/>
    <w:rsid w:val="008D3340"/>
    <w:rsid w:val="008F4429"/>
    <w:rsid w:val="008F6537"/>
    <w:rsid w:val="0093584C"/>
    <w:rsid w:val="0094021A"/>
    <w:rsid w:val="00986690"/>
    <w:rsid w:val="00995224"/>
    <w:rsid w:val="009A2AF9"/>
    <w:rsid w:val="009C6A0B"/>
    <w:rsid w:val="009D4FB8"/>
    <w:rsid w:val="009F0C77"/>
    <w:rsid w:val="009F4DD1"/>
    <w:rsid w:val="00A11BB4"/>
    <w:rsid w:val="00A13B87"/>
    <w:rsid w:val="00A17DD6"/>
    <w:rsid w:val="00A41684"/>
    <w:rsid w:val="00A64E80"/>
    <w:rsid w:val="00A72BCD"/>
    <w:rsid w:val="00A73D64"/>
    <w:rsid w:val="00A741D9"/>
    <w:rsid w:val="00A833AB"/>
    <w:rsid w:val="00A9741D"/>
    <w:rsid w:val="00AD4B17"/>
    <w:rsid w:val="00B07D5E"/>
    <w:rsid w:val="00B21106"/>
    <w:rsid w:val="00B412D4"/>
    <w:rsid w:val="00B65F9C"/>
    <w:rsid w:val="00B67DD7"/>
    <w:rsid w:val="00B77F03"/>
    <w:rsid w:val="00BA73E0"/>
    <w:rsid w:val="00BB6479"/>
    <w:rsid w:val="00BE3C22"/>
    <w:rsid w:val="00C0345E"/>
    <w:rsid w:val="00C04A79"/>
    <w:rsid w:val="00C22F70"/>
    <w:rsid w:val="00C3483A"/>
    <w:rsid w:val="00C402EF"/>
    <w:rsid w:val="00C61135"/>
    <w:rsid w:val="00C74E9D"/>
    <w:rsid w:val="00C82FD3"/>
    <w:rsid w:val="00C92819"/>
    <w:rsid w:val="00CA7808"/>
    <w:rsid w:val="00CB1F57"/>
    <w:rsid w:val="00CC56E8"/>
    <w:rsid w:val="00CC6B7B"/>
    <w:rsid w:val="00CD2089"/>
    <w:rsid w:val="00CD4F48"/>
    <w:rsid w:val="00D30EA7"/>
    <w:rsid w:val="00D63DFB"/>
    <w:rsid w:val="00D73A67"/>
    <w:rsid w:val="00D970A9"/>
    <w:rsid w:val="00DF3845"/>
    <w:rsid w:val="00E030DE"/>
    <w:rsid w:val="00E12B94"/>
    <w:rsid w:val="00E41911"/>
    <w:rsid w:val="00E559B7"/>
    <w:rsid w:val="00E652D7"/>
    <w:rsid w:val="00E92EEF"/>
    <w:rsid w:val="00ED1A88"/>
    <w:rsid w:val="00ED4281"/>
    <w:rsid w:val="00ED449B"/>
    <w:rsid w:val="00EF3B50"/>
    <w:rsid w:val="00F17550"/>
    <w:rsid w:val="00F24442"/>
    <w:rsid w:val="00F3196B"/>
    <w:rsid w:val="00F37702"/>
    <w:rsid w:val="00F50AE3"/>
    <w:rsid w:val="00F67CF1"/>
    <w:rsid w:val="00F840F0"/>
    <w:rsid w:val="00FB0D0D"/>
    <w:rsid w:val="00FB1FFC"/>
    <w:rsid w:val="00FB43B4"/>
    <w:rsid w:val="00FB6015"/>
    <w:rsid w:val="00FD3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6B094F-5DFB-45E8-AD27-48CECDC1D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9A2AF9"/>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43AFD"/>
    <w:rPr>
      <w:color w:val="0000FF" w:themeColor="hyperlink"/>
      <w:u w:val="single"/>
    </w:rPr>
  </w:style>
  <w:style w:type="character" w:customStyle="1" w:styleId="Heading2Char">
    <w:name w:val="Heading 2 Char"/>
    <w:basedOn w:val="DefaultParagraphFont"/>
    <w:link w:val="Heading2"/>
    <w:rsid w:val="009A2AF9"/>
    <w:rPr>
      <w:rFonts w:ascii="Arial" w:eastAsia="Times New Roman" w:hAnsi="Arial" w:cs="Times New Roman"/>
      <w:b/>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2-12.docx" TargetMode="External"/><Relationship Id="rId13" Type="http://schemas.openxmlformats.org/officeDocument/2006/relationships/hyperlink" Target="file:///h:\hj%20archive\2012\04-25-12.docx" TargetMode="External"/><Relationship Id="rId18" Type="http://schemas.openxmlformats.org/officeDocument/2006/relationships/hyperlink" Target="file:///p:\pprever\2011-12\4802_20120222.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2\02-22-12.docx" TargetMode="External"/><Relationship Id="rId12" Type="http://schemas.openxmlformats.org/officeDocument/2006/relationships/hyperlink" Target="file:///h:\hj%20archive\2012\04-25-12.docx" TargetMode="External"/><Relationship Id="rId17" Type="http://schemas.openxmlformats.org/officeDocument/2006/relationships/hyperlink" Target="file:///h:\sj%20archive\2012\05-30-12.docx" TargetMode="External"/><Relationship Id="rId2" Type="http://schemas.openxmlformats.org/officeDocument/2006/relationships/styles" Target="styles.xml"/><Relationship Id="rId16" Type="http://schemas.openxmlformats.org/officeDocument/2006/relationships/hyperlink" Target="file:///h:\sj%20archive\2012\05-01-12.docx" TargetMode="External"/><Relationship Id="rId20" Type="http://schemas.openxmlformats.org/officeDocument/2006/relationships/hyperlink" Target="file:///p:\pprever\2011-12\4802_2012053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4-12.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2\05-01-12.docx" TargetMode="External"/><Relationship Id="rId23" Type="http://schemas.openxmlformats.org/officeDocument/2006/relationships/fontTable" Target="fontTable.xml"/><Relationship Id="rId10" Type="http://schemas.openxmlformats.org/officeDocument/2006/relationships/hyperlink" Target="file:///h:\hj%20archive\2012\04-24-12.docx" TargetMode="External"/><Relationship Id="rId19" Type="http://schemas.openxmlformats.org/officeDocument/2006/relationships/hyperlink" Target="file:///p:\pprever\2011-12\4802_20120328.docx" TargetMode="External"/><Relationship Id="rId4" Type="http://schemas.openxmlformats.org/officeDocument/2006/relationships/webSettings" Target="webSettings.xml"/><Relationship Id="rId9" Type="http://schemas.openxmlformats.org/officeDocument/2006/relationships/hyperlink" Target="file:///h:\hj%20archive\2012\03-28-12.docx" TargetMode="External"/><Relationship Id="rId14" Type="http://schemas.openxmlformats.org/officeDocument/2006/relationships/hyperlink" Target="file:///h:\hj%20archive\2012\04-26-12.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84250-EC08-42E1-A65B-B42C2B094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5016</Words>
  <Characters>26748</Characters>
  <Application>Microsoft Office Word</Application>
  <DocSecurity>4</DocSecurity>
  <Lines>592</Lines>
  <Paragraphs>131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4802: Abandoned Buildings Revitalization Act - South Carolina Legislature Online</dc:title>
  <dc:subject/>
  <dc:creator>sharonpair</dc:creator>
  <cp:keywords/>
  <dc:description/>
  <cp:lastModifiedBy>N Cumfer</cp:lastModifiedBy>
  <cp:revision>2</cp:revision>
  <cp:lastPrinted>2012-02-08T21:30:00Z</cp:lastPrinted>
  <dcterms:created xsi:type="dcterms:W3CDTF">2014-11-24T14:47:00Z</dcterms:created>
  <dcterms:modified xsi:type="dcterms:W3CDTF">2014-11-24T14:47:00Z</dcterms:modified>
</cp:coreProperties>
</file>