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BB6" w:rsidRPr="008F023B"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130BB6" w:rsidRPr="00522CE0"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2" w:name="titletop"/>
      <w:bookmarkEnd w:id="2"/>
      <w:r w:rsidRPr="000D0519">
        <w:rPr>
          <w:color w:val="000000" w:themeColor="text1"/>
          <w:spacing w:val="-2"/>
          <w:u w:color="000000" w:themeColor="text1"/>
        </w:rPr>
        <w:t>TO AMEND THE CODE OF LAWS OF SOUTH CAROLINA, 1976, BY ADDING SECTION 1-3-500, SO AS TO PROVIDE THAT WHEN THE GOVERNOR LEAVES THE STATE, HE MUST NOTIFY THE LIEUTENANT GOVERNOR, WHETHER OR NOT THE POWER OF THE GOVERNOR’S OFFICE IS TRANSFERRED TO THE LIEUTENANT GOVERNOR; AND BY ADDING SECTION 1</w:t>
      </w:r>
      <w:r w:rsidRPr="000D0519">
        <w:rPr>
          <w:color w:val="000000" w:themeColor="text1"/>
          <w:spacing w:val="-2"/>
          <w:u w:color="000000" w:themeColor="text1"/>
        </w:rPr>
        <w:noBreakHyphen/>
        <w:t>3</w:t>
      </w:r>
      <w:r w:rsidRPr="000D0519">
        <w:rPr>
          <w:color w:val="000000" w:themeColor="text1"/>
          <w:spacing w:val="-2"/>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D0519">
        <w:rPr>
          <w:color w:val="000000" w:themeColor="text1"/>
          <w:spacing w:val="-2"/>
          <w:u w:color="000000" w:themeColor="text1"/>
        </w:rPr>
        <w:t>SECTION</w:t>
      </w:r>
      <w:r w:rsidRPr="000D0519">
        <w:rPr>
          <w:color w:val="000000" w:themeColor="text1"/>
          <w:spacing w:val="-2"/>
          <w:u w:color="000000" w:themeColor="text1"/>
        </w:rPr>
        <w:tab/>
        <w:t>1.</w:t>
      </w:r>
      <w:r w:rsidRPr="000D0519">
        <w:rPr>
          <w:color w:val="000000" w:themeColor="text1"/>
          <w:spacing w:val="-2"/>
          <w:u w:color="000000" w:themeColor="text1"/>
        </w:rPr>
        <w:tab/>
      </w:r>
      <w:r>
        <w:rPr>
          <w:color w:val="000000" w:themeColor="text1"/>
          <w:spacing w:val="-2"/>
          <w:u w:color="000000" w:themeColor="text1"/>
        </w:rPr>
        <w:t>Section 1-3-500 of t</w:t>
      </w:r>
      <w:r w:rsidRPr="000D0519">
        <w:rPr>
          <w:rFonts w:eastAsia="Times New Roman"/>
          <w:snapToGrid w:val="0"/>
          <w:szCs w:val="20"/>
        </w:rPr>
        <w:t>he 1976 Code is amended by adding:</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rFonts w:eastAsia="Times New Roman"/>
          <w:snapToGrid w:val="0"/>
          <w:szCs w:val="20"/>
        </w:rPr>
        <w:tab/>
        <w:t>“Section</w:t>
      </w:r>
      <w:r>
        <w:rPr>
          <w:rFonts w:eastAsia="Times New Roman"/>
          <w:snapToGrid w:val="0"/>
          <w:szCs w:val="20"/>
        </w:rPr>
        <w:tab/>
        <w:t>1-3-500.</w:t>
      </w:r>
      <w:r w:rsidRPr="000D0519">
        <w:rPr>
          <w:rFonts w:eastAsia="Times New Roman"/>
          <w:snapToGrid w:val="0"/>
          <w:szCs w:val="20"/>
        </w:rPr>
        <w:tab/>
      </w:r>
      <w:r w:rsidRPr="000D0519">
        <w:t>Whenever the Governor leaves the State, he must notify the Lieutenant Governor.  This section applies whether or not the power of the Governor’s office is transferred to the Lieutenant Governor.”</w:t>
      </w:r>
      <w:r w:rsidRPr="000D0519">
        <w:tab/>
      </w: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2.</w:t>
      </w:r>
      <w:r w:rsidRPr="000D0519">
        <w:rPr>
          <w:color w:val="000000" w:themeColor="text1"/>
          <w:spacing w:val="-2"/>
          <w:u w:color="000000" w:themeColor="text1"/>
        </w:rPr>
        <w:tab/>
        <w:t>Chapter 3, Title 1 of the 1976 Code is amended by adding:</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t>“Section 1</w:t>
      </w:r>
      <w:r w:rsidRPr="000D0519">
        <w:rPr>
          <w:rFonts w:eastAsia="Times New Roman"/>
          <w:color w:val="000000" w:themeColor="text1"/>
          <w:szCs w:val="24"/>
          <w:u w:color="000000" w:themeColor="text1"/>
        </w:rPr>
        <w:noBreakHyphen/>
        <w:t>3</w:t>
      </w:r>
      <w:r w:rsidRPr="000D0519">
        <w:rPr>
          <w:rFonts w:eastAsia="Times New Roman"/>
          <w:color w:val="000000" w:themeColor="text1"/>
          <w:szCs w:val="24"/>
          <w:u w:color="000000" w:themeColor="text1"/>
        </w:rPr>
        <w:noBreakHyphen/>
        <w:t>630.</w:t>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For purposes of this section:</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(1)</w:t>
      </w:r>
      <w:r w:rsidRPr="000D0519">
        <w:rPr>
          <w:rFonts w:eastAsia="Times New Roman"/>
          <w:color w:val="000000" w:themeColor="text1"/>
          <w:szCs w:val="24"/>
          <w:u w:color="000000" w:themeColor="text1"/>
        </w:rPr>
        <w:tab/>
        <w:t>‘Emergency’ means:</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 xml:space="preserve">an </w:t>
      </w:r>
      <w:r w:rsidRPr="000D0519">
        <w:rPr>
          <w:color w:val="000000" w:themeColor="text1"/>
          <w:szCs w:val="24"/>
          <w:u w:color="000000" w:themeColor="text1"/>
        </w:rPr>
        <w:t>unlawful assemblage, violence or threats of violence, or a public health emergency, as defined in Section 44</w:t>
      </w:r>
      <w:r w:rsidRPr="000D0519">
        <w:rPr>
          <w:color w:val="000000" w:themeColor="text1"/>
          <w:szCs w:val="24"/>
          <w:u w:color="000000" w:themeColor="text1"/>
        </w:rPr>
        <w:noBreakHyphen/>
        <w:t>4</w:t>
      </w:r>
      <w:r w:rsidRPr="000D0519">
        <w:rPr>
          <w:color w:val="000000" w:themeColor="text1"/>
          <w:szCs w:val="24"/>
          <w:u w:color="000000" w:themeColor="text1"/>
        </w:rPr>
        <w:noBreakHyphen/>
        <w:t>130, that warrants a gubernatorial proclamation of emergency as provided in Section 1</w:t>
      </w:r>
      <w:r w:rsidRPr="000D0519">
        <w:rPr>
          <w:color w:val="000000" w:themeColor="text1"/>
          <w:szCs w:val="24"/>
          <w:u w:color="000000" w:themeColor="text1"/>
        </w:rPr>
        <w:noBreakHyphen/>
        <w:t>3</w:t>
      </w:r>
      <w:r w:rsidRPr="000D0519">
        <w:rPr>
          <w:color w:val="000000" w:themeColor="text1"/>
          <w:szCs w:val="24"/>
          <w:u w:color="000000" w:themeColor="text1"/>
        </w:rPr>
        <w:noBreakHyphen/>
        <w:t>420;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(b)</w:t>
      </w:r>
      <w:r w:rsidRPr="000D0519">
        <w:rPr>
          <w:color w:val="000000" w:themeColor="text1"/>
          <w:szCs w:val="24"/>
          <w:u w:color="000000" w:themeColor="text1"/>
        </w:rPr>
        <w:tab/>
        <w:t>an attack, as defined in Section 1</w:t>
      </w:r>
      <w:r w:rsidRPr="000D0519">
        <w:rPr>
          <w:color w:val="000000" w:themeColor="text1"/>
          <w:szCs w:val="24"/>
          <w:u w:color="000000" w:themeColor="text1"/>
        </w:rPr>
        <w:noBreakHyphen/>
        <w:t>9</w:t>
      </w:r>
      <w:r w:rsidRPr="000D0519">
        <w:rPr>
          <w:color w:val="000000" w:themeColor="text1"/>
          <w:szCs w:val="24"/>
          <w:u w:color="000000" w:themeColor="text1"/>
        </w:rPr>
        <w:noBreakHyphen/>
        <w:t>20(d);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lastRenderedPageBreak/>
        <w:tab/>
      </w:r>
      <w:r w:rsidRPr="000D0519">
        <w:rPr>
          <w:color w:val="000000" w:themeColor="text1"/>
          <w:szCs w:val="24"/>
          <w:u w:color="000000" w:themeColor="text1"/>
        </w:rPr>
        <w:tab/>
      </w:r>
      <w:r w:rsidRPr="000D0519">
        <w:rPr>
          <w:color w:val="000000" w:themeColor="text1"/>
          <w:szCs w:val="24"/>
          <w:u w:color="000000" w:themeColor="text1"/>
        </w:rPr>
        <w:tab/>
        <w:t>(c)</w:t>
      </w:r>
      <w:r w:rsidRPr="000D0519">
        <w:rPr>
          <w:color w:val="000000" w:themeColor="text1"/>
          <w:szCs w:val="24"/>
          <w:u w:color="000000" w:themeColor="text1"/>
        </w:rPr>
        <w:tab/>
      </w:r>
      <w:r w:rsidRPr="000D0519">
        <w:rPr>
          <w:rFonts w:eastAsia="Times New Roman"/>
          <w:color w:val="000000" w:themeColor="text1"/>
          <w:szCs w:val="24"/>
          <w:u w:color="000000" w:themeColor="text1"/>
        </w:rPr>
        <w:t>a potentially destructive and life-threatening</w:t>
      </w:r>
      <w:r w:rsidRPr="000D0519">
        <w:rPr>
          <w:rFonts w:eastAsia="Times New Roman"/>
          <w:color w:val="000000" w:themeColor="text1"/>
          <w:u w:color="000000" w:themeColor="text1"/>
        </w:rPr>
        <w:t xml:space="preserve"> </w:t>
      </w:r>
      <w:r w:rsidRPr="000D0519">
        <w:rPr>
          <w:rFonts w:eastAsia="Times New Roman"/>
          <w:color w:val="000000" w:themeColor="text1"/>
          <w:szCs w:val="24"/>
          <w:u w:color="000000" w:themeColor="text1"/>
        </w:rPr>
        <w:t xml:space="preserve">major flood, storm, nuclear accident, or other natural or man-made calamity affecting the health, welfare, and safety of the lives and property of the people </w:t>
      </w:r>
      <w:r w:rsidRPr="000D0519">
        <w:rPr>
          <w:color w:val="000000" w:themeColor="text1"/>
          <w:szCs w:val="24"/>
          <w:u w:color="000000" w:themeColor="text1"/>
        </w:rPr>
        <w:t>of the State;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(d)</w:t>
      </w:r>
      <w:r w:rsidRPr="000D0519">
        <w:rPr>
          <w:color w:val="000000" w:themeColor="text1"/>
          <w:szCs w:val="24"/>
          <w:u w:color="000000" w:themeColor="text1"/>
        </w:rPr>
        <w:tab/>
      </w:r>
      <w:r w:rsidRPr="000D0519">
        <w:rPr>
          <w:rFonts w:eastAsia="Times New Roman"/>
          <w:color w:val="000000" w:themeColor="text1"/>
          <w:szCs w:val="24"/>
          <w:u w:color="000000" w:themeColor="text1"/>
        </w:rPr>
        <w:t xml:space="preserve">the necessary authority to conduct the affairs of the Office of the </w:t>
      </w:r>
      <w:r w:rsidRPr="000D0519">
        <w:rPr>
          <w:rFonts w:eastAsia="Times New Roman"/>
          <w:bCs/>
          <w:color w:val="000000" w:themeColor="text1"/>
          <w:szCs w:val="24"/>
          <w:u w:color="000000" w:themeColor="text1"/>
        </w:rPr>
        <w:t>Governor that may be lost or abandoned during</w:t>
      </w:r>
      <w:r w:rsidRPr="000D0519">
        <w:rPr>
          <w:rFonts w:eastAsia="Times New Roman"/>
          <w:color w:val="000000" w:themeColor="text1"/>
          <w:szCs w:val="24"/>
          <w:u w:color="000000" w:themeColor="text1"/>
        </w:rPr>
        <w:t xml:space="preserve">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a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including, but not limited to, the:</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t>(i)</w:t>
      </w:r>
      <w:r w:rsidRPr="000D0519">
        <w:rPr>
          <w:rFonts w:eastAsia="Times New Roman"/>
          <w:bCs/>
          <w:color w:val="000000" w:themeColor="text1"/>
          <w:szCs w:val="24"/>
          <w:u w:color="000000" w:themeColor="text1"/>
        </w:rPr>
        <w:tab/>
        <w:t>veto power, and</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t>(ii)</w:t>
      </w:r>
      <w:r w:rsidRPr="000D0519">
        <w:rPr>
          <w:rFonts w:eastAsia="Times New Roman"/>
          <w:bCs/>
          <w:color w:val="000000" w:themeColor="text1"/>
          <w:szCs w:val="24"/>
          <w:u w:color="000000" w:themeColor="text1"/>
        </w:rPr>
        <w:tab/>
      </w:r>
      <w:r w:rsidRPr="000D0519">
        <w:rPr>
          <w:rFonts w:eastAsia="Times New Roman"/>
          <w:color w:val="000000" w:themeColor="text1"/>
          <w:szCs w:val="24"/>
          <w:u w:color="000000" w:themeColor="text1"/>
        </w:rPr>
        <w:t>authority to execute documents concerning extradition of fugitives from justice, and</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(iii)</w:t>
      </w:r>
      <w:r w:rsidRPr="000D0519">
        <w:rPr>
          <w:rFonts w:eastAsia="Times New Roman"/>
          <w:color w:val="000000" w:themeColor="text1"/>
          <w:szCs w:val="24"/>
          <w:u w:color="000000" w:themeColor="text1"/>
        </w:rPr>
        <w:tab/>
        <w:t>authority to execute documents and exercise duties essential to the administration of criminal justice.</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(2)</w:t>
      </w:r>
      <w:r w:rsidRPr="000D0519">
        <w:rPr>
          <w:rFonts w:eastAsia="Times New Roman"/>
          <w:color w:val="000000" w:themeColor="text1"/>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(3)</w:t>
      </w:r>
      <w:r w:rsidRPr="000D0519">
        <w:rPr>
          <w:rFonts w:eastAsia="Times New Roman"/>
          <w:color w:val="000000" w:themeColor="text1"/>
          <w:szCs w:val="24"/>
          <w:u w:color="000000" w:themeColor="text1"/>
        </w:rPr>
        <w:tab/>
        <w:t>‘Temporary absence’ means that:</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the Governor is outside the boundaries of the State; and</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within a twelve-hour period, either by communicating in person or by telecommunications device, the Governor is not available or is unable to respond to:</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sidRPr="000D0519">
        <w:rPr>
          <w:rFonts w:eastAsia="Times New Roman"/>
          <w:color w:val="000000" w:themeColor="text1"/>
          <w:szCs w:val="24"/>
          <w:u w:color="000000" w:themeColor="text1"/>
        </w:rPr>
        <w:tab/>
        <w:t>his staff, or</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w:t>
      </w:r>
      <w:r w:rsidRPr="000D0519">
        <w:rPr>
          <w:rFonts w:eastAsia="Times New Roman"/>
          <w:color w:val="000000" w:themeColor="text1"/>
          <w:szCs w:val="24"/>
          <w:u w:color="000000" w:themeColor="text1"/>
        </w:rPr>
        <w:tab/>
        <w:t>the Director of the South Carolina Law Enforcement Division or his designee.</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 xml:space="preserve">As provided in Article IV, Section 11 of the South Carolina Constitution, </w:t>
      </w:r>
      <w:r w:rsidRPr="000D0519">
        <w:rPr>
          <w:color w:val="000000" w:themeColor="text1"/>
          <w:szCs w:val="24"/>
          <w:u w:color="000000" w:themeColor="text1"/>
        </w:rPr>
        <w:t>in the event of the temporary absence of the Governor from the State, the Lieutenant Governor has full authority to act in an emergency.</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color w:val="000000" w:themeColor="text1"/>
          <w:szCs w:val="24"/>
          <w:u w:color="000000" w:themeColor="text1"/>
        </w:rPr>
        <w:tab/>
        <w:t>(C)</w:t>
      </w:r>
      <w:r w:rsidRPr="000D0519">
        <w:rPr>
          <w:color w:val="000000" w:themeColor="text1"/>
          <w:szCs w:val="24"/>
          <w:u w:color="000000" w:themeColor="text1"/>
        </w:rPr>
        <w:tab/>
        <w:t xml:space="preserve">Prior to assuming full authority to act in an emergency, the Lieutenant Governor must verify with the Governor’s staff and the Director of the </w:t>
      </w:r>
      <w:r w:rsidRPr="000D0519">
        <w:rPr>
          <w:rFonts w:eastAsia="Times New Roman"/>
          <w:color w:val="000000" w:themeColor="text1"/>
          <w:szCs w:val="24"/>
          <w:u w:color="000000" w:themeColor="text1"/>
        </w:rPr>
        <w:t>South Carolina Law Enforcement Division or his designee that the Governor has not been in communication for a period of twelve or more hours and that attempts to contact the Governor have not received a response or indication of the Governor’s whereabouts or availability.</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0519">
        <w:rPr>
          <w:rFonts w:eastAsia="Times New Roman"/>
          <w:color w:val="000000" w:themeColor="text1"/>
          <w:szCs w:val="24"/>
          <w:u w:color="000000" w:themeColor="text1"/>
        </w:rPr>
        <w:tab/>
        <w:t>(D)</w:t>
      </w:r>
      <w:r w:rsidRPr="000D0519">
        <w:rPr>
          <w:rFonts w:eastAsia="Times New Roman"/>
          <w:color w:val="000000" w:themeColor="text1"/>
          <w:szCs w:val="24"/>
          <w:u w:color="000000" w:themeColor="text1"/>
        </w:rPr>
        <w:tab/>
        <w:t>After receiving this verification, th</w:t>
      </w:r>
      <w:r w:rsidRPr="000D0519">
        <w:rPr>
          <w:color w:val="000000" w:themeColor="text1"/>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130BB6"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u w:color="000000" w:themeColor="text1"/>
        </w:rPr>
        <w:lastRenderedPageBreak/>
        <w:tab/>
        <w:t>(E)</w:t>
      </w:r>
      <w:r w:rsidRPr="000D0519">
        <w:rPr>
          <w:color w:val="000000" w:themeColor="text1"/>
          <w:u w:color="000000" w:themeColor="text1"/>
        </w:rPr>
        <w:tab/>
        <w:t>T</w:t>
      </w:r>
      <w:r w:rsidRPr="000D0519">
        <w:rPr>
          <w:rFonts w:eastAsia="Times New Roman"/>
          <w:color w:val="000000" w:themeColor="text1"/>
          <w:szCs w:val="24"/>
          <w:u w:color="000000" w:themeColor="text1"/>
        </w:rPr>
        <w:t xml:space="preserve">he powers that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may exercise pursuant to Article IV, Section 11 of the South Carolina Constitution and this section in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cannot be restricted prior to the departure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from this State.  The discretion of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includes all of the gubernatorial powers which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himself would possess were he present, limited by the terms of the constitutional provision itself, which require only that those powers may be exercised by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during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and that those powers also must be of an emergency nature.</w:t>
      </w:r>
      <w:r w:rsidRPr="000D0519">
        <w:rPr>
          <w:color w:val="000000" w:themeColor="text1"/>
          <w:szCs w:val="24"/>
          <w:u w:color="000000" w:themeColor="text1"/>
        </w:rPr>
        <w:t>”</w:t>
      </w:r>
    </w:p>
    <w:p w:rsidR="00130BB6" w:rsidRPr="000D0519" w:rsidRDefault="00130BB6" w:rsidP="0013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803C55" w:rsidRDefault="00130BB6" w:rsidP="0080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3.</w:t>
      </w:r>
      <w:r w:rsidRPr="000D0519">
        <w:rPr>
          <w:color w:val="000000" w:themeColor="text1"/>
          <w:spacing w:val="-2"/>
          <w:u w:color="000000" w:themeColor="text1"/>
        </w:rPr>
        <w:tab/>
        <w:t>This act shall take effect upon approval by the Governor.</w:t>
      </w:r>
    </w:p>
    <w:p w:rsidR="006A2E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2E67" w:rsidRDefault="006A2E67" w:rsidP="006A2E67">
      <w:pPr>
        <w:suppressAutoHyphens/>
        <w:jc w:val="both"/>
        <w:rPr>
          <w:rFonts w:eastAsia="Times New Roman"/>
        </w:rPr>
      </w:pPr>
    </w:p>
    <w:sectPr w:rsidR="006A2E67" w:rsidSect="006A2E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C55" w:rsidRDefault="00803C55" w:rsidP="00522CE0">
      <w:r>
        <w:separator/>
      </w:r>
    </w:p>
  </w:endnote>
  <w:endnote w:type="continuationSeparator" w:id="0">
    <w:p w:rsidR="00803C55" w:rsidRDefault="00803C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3E5F34-234D-49AD-BA11-0E98166FA570}"/>
    <w:embedBold r:id="rId2" w:fontKey="{45F77B94-0460-4948-8DCD-D5601F4A8BD5}"/>
  </w:font>
  <w:font w:name="Calibri">
    <w:panose1 w:val="020F0502020204030204"/>
    <w:charset w:val="00"/>
    <w:family w:val="swiss"/>
    <w:pitch w:val="variable"/>
    <w:sig w:usb0="A00002EF" w:usb1="4000207B" w:usb2="00000000" w:usb3="00000000" w:csb0="0000009F" w:csb1="00000000"/>
    <w:embedRegular r:id="rId3" w:fontKey="{778C9CD9-1186-43DC-A1F6-2EBA6078C1FC}"/>
  </w:font>
  <w:font w:name="Cambria">
    <w:panose1 w:val="02040503050406030204"/>
    <w:charset w:val="00"/>
    <w:family w:val="roman"/>
    <w:pitch w:val="variable"/>
    <w:sig w:usb0="A00002EF" w:usb1="4000004B" w:usb2="00000000" w:usb3="00000000" w:csb0="0000009F" w:csb1="00000000"/>
    <w:embedRegular r:id="rId4" w:fontKey="{37F85085-4FB0-4E5A-8586-34519CD729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B5" w:rsidRPr="006A2E67" w:rsidRDefault="006A2E67" w:rsidP="006A2E67">
    <w:pPr>
      <w:pStyle w:val="Footer"/>
      <w:tabs>
        <w:tab w:val="clear" w:pos="4680"/>
        <w:tab w:val="clear" w:pos="9360"/>
        <w:tab w:val="center" w:pos="2995"/>
      </w:tabs>
      <w:spacing w:before="120"/>
    </w:pPr>
    <w:r>
      <w:t>[28]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C55" w:rsidRDefault="00803C55" w:rsidP="00522CE0">
      <w:r>
        <w:separator/>
      </w:r>
    </w:p>
  </w:footnote>
  <w:footnote w:type="continuationSeparator" w:id="0">
    <w:p w:rsidR="00803C55" w:rsidRDefault="00803C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31.PB"/>
    <w:docVar w:name="CoverAttorneyInitials" w:val="PB"/>
    <w:docVar w:name="CoverAttorneyLastName" w:val="Benson"/>
    <w:docVar w:name="CoverBillType" w:val="b"/>
    <w:docVar w:name="DraftFileName" w:val="JUD0031.PB.DOCX"/>
    <w:docVar w:name="DraftStenoName" w:val="Craft"/>
    <w:docVar w:name="dvBillNumber" w:val="28"/>
    <w:docVar w:name="dvBillNumberPrefix" w:val="S. "/>
    <w:docVar w:name="dvOriginalBody" w:val="Senate"/>
    <w:docVar w:name="fulldraftpath" w:val="L:\S-JUD\BILLS\McConnell\JUD0031.PB.DOCX"/>
    <w:docVar w:name="NameofBody" w:val="S"/>
    <w:docVar w:name="SenatorFolderName" w:val="McConnell"/>
    <w:docVar w:name="VGROUP2" w:val="S-JUD"/>
  </w:docVars>
  <w:rsids>
    <w:rsidRoot w:val="00F47140"/>
    <w:rsid w:val="000141EB"/>
    <w:rsid w:val="000253B5"/>
    <w:rsid w:val="00042AC1"/>
    <w:rsid w:val="00046516"/>
    <w:rsid w:val="000A4D08"/>
    <w:rsid w:val="000A6988"/>
    <w:rsid w:val="000B0720"/>
    <w:rsid w:val="000B5EAF"/>
    <w:rsid w:val="000E473B"/>
    <w:rsid w:val="000F002B"/>
    <w:rsid w:val="00107C3D"/>
    <w:rsid w:val="00126995"/>
    <w:rsid w:val="00130BB6"/>
    <w:rsid w:val="0016543B"/>
    <w:rsid w:val="00170561"/>
    <w:rsid w:val="00186AC9"/>
    <w:rsid w:val="00190F47"/>
    <w:rsid w:val="00197DF1"/>
    <w:rsid w:val="001B3DD9"/>
    <w:rsid w:val="001D3BAC"/>
    <w:rsid w:val="00206D3D"/>
    <w:rsid w:val="0021607A"/>
    <w:rsid w:val="0024519E"/>
    <w:rsid w:val="00245C4E"/>
    <w:rsid w:val="00273DAC"/>
    <w:rsid w:val="002C5896"/>
    <w:rsid w:val="00307C2B"/>
    <w:rsid w:val="0031409E"/>
    <w:rsid w:val="00333DF1"/>
    <w:rsid w:val="0033541C"/>
    <w:rsid w:val="00364389"/>
    <w:rsid w:val="003D6A5D"/>
    <w:rsid w:val="003D6E2B"/>
    <w:rsid w:val="003E7597"/>
    <w:rsid w:val="00402E01"/>
    <w:rsid w:val="00412C9E"/>
    <w:rsid w:val="00450668"/>
    <w:rsid w:val="00452CD7"/>
    <w:rsid w:val="00477696"/>
    <w:rsid w:val="004952FA"/>
    <w:rsid w:val="004A592F"/>
    <w:rsid w:val="004B6A22"/>
    <w:rsid w:val="004D168C"/>
    <w:rsid w:val="004D17F9"/>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A2E67"/>
    <w:rsid w:val="006B4B3C"/>
    <w:rsid w:val="006C74EA"/>
    <w:rsid w:val="006E0268"/>
    <w:rsid w:val="0071706F"/>
    <w:rsid w:val="00720D40"/>
    <w:rsid w:val="007318D4"/>
    <w:rsid w:val="00746551"/>
    <w:rsid w:val="00765784"/>
    <w:rsid w:val="007A4390"/>
    <w:rsid w:val="007C65B0"/>
    <w:rsid w:val="007E3B8F"/>
    <w:rsid w:val="007E5CB7"/>
    <w:rsid w:val="00803C55"/>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CE31DF"/>
    <w:rsid w:val="00D1088B"/>
    <w:rsid w:val="00D156D2"/>
    <w:rsid w:val="00D77EC0"/>
    <w:rsid w:val="00D86943"/>
    <w:rsid w:val="00DA47B9"/>
    <w:rsid w:val="00E677A1"/>
    <w:rsid w:val="00E91E2F"/>
    <w:rsid w:val="00EA3546"/>
    <w:rsid w:val="00EB1AAC"/>
    <w:rsid w:val="00EB47AE"/>
    <w:rsid w:val="00EC34E1"/>
    <w:rsid w:val="00ED0AE1"/>
    <w:rsid w:val="00ED7728"/>
    <w:rsid w:val="00F0234A"/>
    <w:rsid w:val="00F47140"/>
    <w:rsid w:val="00F52959"/>
    <w:rsid w:val="00F532D4"/>
    <w:rsid w:val="00F55884"/>
    <w:rsid w:val="00F655D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2010-11-08T16:59:00Z</cp:lastPrinted>
  <dcterms:created xsi:type="dcterms:W3CDTF">2010-12-01T17:48:00Z</dcterms:created>
  <dcterms:modified xsi:type="dcterms:W3CDTF">2010-12-01T17:48:00Z</dcterms:modified>
</cp:coreProperties>
</file>