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452" w:rsidRDefault="006A5452" w:rsidP="00F1051B">
      <w:pPr>
        <w:pStyle w:val="BillDots"/>
      </w:pPr>
      <w:r>
        <w:t>COMMITTEE REPORT</w:t>
      </w:r>
    </w:p>
    <w:p w:rsidR="006A5452" w:rsidRDefault="006A5452" w:rsidP="00F1051B">
      <w:pPr>
        <w:pStyle w:val="BillDots"/>
      </w:pPr>
      <w:r>
        <w:t>May 30, 2012</w:t>
      </w:r>
    </w:p>
    <w:p w:rsidR="006A5452" w:rsidRDefault="006A5452" w:rsidP="00F1051B">
      <w:pPr>
        <w:pStyle w:val="BillDots"/>
      </w:pPr>
    </w:p>
    <w:p w:rsidR="006A5452" w:rsidRPr="006A5452" w:rsidRDefault="006A5452" w:rsidP="006A5452">
      <w:pPr>
        <w:pStyle w:val="BillDots"/>
        <w:tabs>
          <w:tab w:val="clear" w:pos="216"/>
          <w:tab w:val="clear" w:pos="432"/>
          <w:tab w:val="clear" w:pos="648"/>
          <w:tab w:val="clear" w:pos="864"/>
          <w:tab w:val="clear" w:pos="1080"/>
          <w:tab w:val="clear" w:pos="1296"/>
          <w:tab w:val="clear" w:pos="5904"/>
          <w:tab w:val="right" w:pos="5933"/>
        </w:tabs>
      </w:pPr>
      <w:r>
        <w:tab/>
      </w:r>
      <w:r>
        <w:rPr>
          <w:b/>
          <w:sz w:val="36"/>
        </w:rPr>
        <w:t>H. 3127</w:t>
      </w:r>
    </w:p>
    <w:p w:rsidR="006A5452" w:rsidRDefault="006A5452" w:rsidP="00F1051B">
      <w:pPr>
        <w:pStyle w:val="BillDots"/>
      </w:pPr>
    </w:p>
    <w:p w:rsidR="006A5452" w:rsidRDefault="006A5452" w:rsidP="006A5452">
      <w:pPr>
        <w:pStyle w:val="BillDots"/>
      </w:pPr>
      <w:r>
        <w:t>Introduced by Reps. Rutherford, G.R. Smith, Clyburn, Weeks, Whipper and R.L. Brown</w:t>
      </w:r>
    </w:p>
    <w:p w:rsidR="006A5452" w:rsidRDefault="006A5452" w:rsidP="00F1051B">
      <w:pPr>
        <w:pStyle w:val="BillDots"/>
      </w:pPr>
    </w:p>
    <w:p w:rsidR="006A5452" w:rsidRDefault="006A5452" w:rsidP="00F1051B">
      <w:pPr>
        <w:pStyle w:val="BillDots"/>
      </w:pPr>
      <w:r>
        <w:t>S. Printed 5/30/12--S.</w:t>
      </w:r>
    </w:p>
    <w:p w:rsidR="006A5452" w:rsidRDefault="006A5452" w:rsidP="00F1051B">
      <w:pPr>
        <w:pStyle w:val="BillDots"/>
      </w:pPr>
      <w:r>
        <w:t>Read the first time April 19, 2011.</w:t>
      </w:r>
    </w:p>
    <w:p w:rsidR="006A5452" w:rsidRPr="006A5452" w:rsidRDefault="006A5452" w:rsidP="006A5452">
      <w:pPr>
        <w:pStyle w:val="BillDots"/>
        <w:jc w:val="center"/>
      </w:pPr>
      <w:r>
        <w:rPr>
          <w:u w:val="single"/>
        </w:rPr>
        <w:t>            </w:t>
      </w:r>
    </w:p>
    <w:p w:rsidR="006A5452" w:rsidRDefault="006A5452" w:rsidP="00F1051B">
      <w:pPr>
        <w:pStyle w:val="BillDots"/>
      </w:pPr>
    </w:p>
    <w:p w:rsidR="006A5452" w:rsidRPr="006A5452" w:rsidRDefault="006A5452" w:rsidP="006A5452">
      <w:pPr>
        <w:pStyle w:val="BillDots"/>
        <w:jc w:val="center"/>
      </w:pPr>
      <w:r>
        <w:rPr>
          <w:b/>
        </w:rPr>
        <w:t>THE COMMITTEE ON JUDICIARY</w:t>
      </w:r>
    </w:p>
    <w:p w:rsidR="006A5452" w:rsidRDefault="006A5452" w:rsidP="00F1051B">
      <w:pPr>
        <w:pStyle w:val="BillDots"/>
      </w:pPr>
      <w:r>
        <w:tab/>
        <w:t>To whom was referred a Bill (H. 3127) to amend the Code of Laws of South Carolina, 1976, by adding Section 24</w:t>
      </w:r>
      <w:r>
        <w:noBreakHyphen/>
        <w:t>21</w:t>
      </w:r>
      <w:r>
        <w:noBreakHyphen/>
        <w:t>925 so as to provide that a limited pardon may be granted to a person, etc., respectfully</w:t>
      </w:r>
    </w:p>
    <w:p w:rsidR="006A5452" w:rsidRPr="006A5452" w:rsidRDefault="006A5452" w:rsidP="006A5452">
      <w:pPr>
        <w:pStyle w:val="BillDots"/>
        <w:jc w:val="center"/>
      </w:pPr>
      <w:r>
        <w:rPr>
          <w:b/>
        </w:rPr>
        <w:t>REPORT:</w:t>
      </w:r>
    </w:p>
    <w:p w:rsidR="006A5452" w:rsidRDefault="006A5452" w:rsidP="00F1051B">
      <w:pPr>
        <w:pStyle w:val="BillDots"/>
      </w:pPr>
      <w:r>
        <w:tab/>
        <w:t>That they have duly and carefully considered the same and recommend that the same do pass with amendment:</w:t>
      </w:r>
    </w:p>
    <w:p w:rsidR="006A5452" w:rsidRDefault="006A5452" w:rsidP="00F1051B">
      <w:pPr>
        <w:pStyle w:val="BillDots"/>
      </w:pP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6F27">
        <w:t>Amend the bill, as and if amended, by striking all after the enacting words, and inserting:</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6F27">
        <w:t>/</w:t>
      </w:r>
      <w:r w:rsidRPr="00446F27">
        <w:tab/>
        <w:t>SECTION</w:t>
      </w:r>
      <w:r w:rsidRPr="00446F27">
        <w:tab/>
        <w:t>1.</w:t>
      </w:r>
      <w:r w:rsidRPr="00446F27">
        <w:tab/>
        <w:t>Article 11, Chapter 21, Title 24 of the 1976 Code is amended by adding:</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t>“Section 24-21-1010.</w:t>
      </w:r>
      <w:r w:rsidRPr="00446F27">
        <w:tab/>
        <w:t>(A)(1)</w:t>
      </w:r>
      <w:r w:rsidRPr="00446F27">
        <w:tab/>
        <w:t>A person who is applying for an order of pardon for an offense pursuant to this article may request that the South Carolina Board of Paroles and Pardons recommend the expungement of records related to the offense.</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t>(2)</w:t>
      </w:r>
      <w:r w:rsidRPr="00446F27">
        <w:tab/>
        <w:t>A person who has received an order of pardon for an offense pursuant to this article prior to the effective date of this section may apply to the South Carolina Board of Paroles and Pardons to request that the board recommend the expungement of records related to the offense.</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t>(B)</w:t>
      </w:r>
      <w:r w:rsidRPr="00446F27">
        <w:tab/>
        <w:t>This section does not apply to a person who is applying for an order of pardon or has received an order of pardon for a felony offense defined as a violent crime pursuant to Section 16-1-60.</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t>(C)</w:t>
      </w:r>
      <w:r w:rsidRPr="00446F27">
        <w:tab/>
        <w:t xml:space="preserve">The applicant shall pay a recommendation of expungement application fee of one hundred dollars, which must be retained by the South Carolina Department of Probation, Parole and Pardon Services and used to defray the costs associated with the expungement process.  The fee is nonrefundable, regardless of </w:t>
      </w:r>
      <w:r w:rsidRPr="00446F27">
        <w:lastRenderedPageBreak/>
        <w:t>whether the offense is later determined to be ineligible for expungement.  If the applicant is applying for an order of pardon and a recommendation of expungement at the same time, the applicant shall pay both the order of pardon application fee and the recommendation of expungement application fee.</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t>(D)</w:t>
      </w:r>
      <w:r w:rsidRPr="00446F27">
        <w:tab/>
        <w:t xml:space="preserve">The South Carolina Department of Probation, Parole and Pardon Services shall implement policies and procedures consistent with this section to ensure that the recommendation of expungement process is properly conducted.  Such policies and procedures must include, but are not limited to: </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r>
      <w:r w:rsidRPr="00446F27">
        <w:tab/>
        <w:t>(1)</w:t>
      </w:r>
      <w:r w:rsidRPr="00446F27">
        <w:tab/>
        <w:t>assisting the applicant in completing the recommendation of expungement application;</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r>
      <w:r w:rsidRPr="00446F27">
        <w:tab/>
        <w:t>(2)</w:t>
      </w:r>
      <w:r w:rsidRPr="00446F27">
        <w:tab/>
        <w:t xml:space="preserve">collecting from the applicant and distributing to the appropriate agencies separate certified checks or money orders for charges prescribed by this section; </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r>
      <w:r w:rsidRPr="00446F27">
        <w:tab/>
        <w:t>(3)</w:t>
      </w:r>
      <w:r w:rsidRPr="00446F27">
        <w:tab/>
        <w:t xml:space="preserve">notifying the appropriate victim of the application pursuant to Section 16-3-1560, and the appropriate prosecuting or law enforcement agency; </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r>
      <w:r w:rsidRPr="00446F27">
        <w:tab/>
        <w:t>(4)</w:t>
      </w:r>
      <w:r w:rsidRPr="00446F27">
        <w:tab/>
        <w:t>coordinating with the South Carolina Law Enforcement Division to confirm that the offense is statutorily appropriate for expungement;</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r>
      <w:r w:rsidRPr="00446F27">
        <w:tab/>
        <w:t>(5)</w:t>
      </w:r>
      <w:r w:rsidRPr="00446F27">
        <w:tab/>
        <w:t>obtaining and verifying the presence of all necessary signatures; and</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r>
      <w:r w:rsidRPr="00446F27">
        <w:tab/>
        <w:t>(6)</w:t>
      </w:r>
      <w:r w:rsidRPr="00446F27">
        <w:tab/>
        <w:t>providing copies of the completed recommendation of expungement to the applicant.</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t>(E)</w:t>
      </w:r>
      <w:r w:rsidRPr="00446F27">
        <w:tab/>
        <w:t>The South Carolina Law Enforcement Division shall verify and document that the offense sought to be expunged is appropriate for expungement.  The South Carolina Law Enforcement Division shall receive a twenty</w:t>
      </w:r>
      <w:r w:rsidRPr="00446F27">
        <w:noBreakHyphen/>
        <w:t xml:space="preserve">five dollar certified check or money order from the South Carolina Department of Probation, Parole and Pardon Services on behalf of the applicant made payable to the South Carolina Law Enforcement Division.  The South Carolina Law Enforcement Division shall forward the necessary documentation back to the South Carolina Department of Probation, Parole and Pardon Services.  Neither the South Carolina Department of Probation, Parole and Pardon Services nor the South Carolina Law Enforcement Division shall allow the applicant to take possession of the application during the recommendation of expungement application process. </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t>(F)(1)</w:t>
      </w:r>
      <w:r w:rsidRPr="00446F27">
        <w:tab/>
        <w:t xml:space="preserve">The appropriate prosecuting or law enforcement agency may file an objection to the recommendation of expungement with the South Carolina Board of Paroles and Pardons within thirty days </w:t>
      </w:r>
      <w:r w:rsidRPr="00446F27">
        <w:lastRenderedPageBreak/>
        <w:t xml:space="preserve">of receiving notice of the application.  The prosecuting or law enforcement agency's reason for objecting must be that the: </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r>
      <w:r w:rsidRPr="00446F27">
        <w:tab/>
      </w:r>
      <w:r w:rsidRPr="00446F27">
        <w:tab/>
        <w:t>(a)</w:t>
      </w:r>
      <w:r w:rsidRPr="00446F27">
        <w:tab/>
        <w:t xml:space="preserve">applicant has other charges pending; </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r>
      <w:r w:rsidRPr="00446F27">
        <w:tab/>
      </w:r>
      <w:r w:rsidRPr="00446F27">
        <w:tab/>
        <w:t>(b)</w:t>
      </w:r>
      <w:r w:rsidRPr="00446F27">
        <w:tab/>
        <w:t xml:space="preserve">prosecuting or law enforcement agency believes that the evidence in the case needs to be preserved; or </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r>
      <w:r w:rsidRPr="00446F27">
        <w:tab/>
      </w:r>
      <w:r w:rsidRPr="00446F27">
        <w:tab/>
        <w:t>(c)</w:t>
      </w:r>
      <w:r w:rsidRPr="00446F27">
        <w:tab/>
        <w:t xml:space="preserve">applicant's charges were dismissed as a part of a plea agreement. </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r>
      <w:r w:rsidRPr="00446F27">
        <w:tab/>
        <w:t>(2)</w:t>
      </w:r>
      <w:r w:rsidRPr="00446F27">
        <w:tab/>
        <w:t>The prosecuting or law enforcement agency must notify the applicant of the objection in writing at the address listed on the application.</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r>
      <w:r w:rsidRPr="00446F27">
        <w:tab/>
        <w:t>(3)</w:t>
      </w:r>
      <w:r w:rsidRPr="00446F27">
        <w:tab/>
        <w:t xml:space="preserve">If an objection is filed by the prosecuting or law enforcement agency, the objection must be heard by the South Carolina Board of Paroles and Pardons, acting in a three-member panel or meeting as a full board, and taken into consideration when the board is making a determination as to whether to recommend expungement of the applicant’s records.    </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t>(G)</w:t>
      </w:r>
      <w:r w:rsidRPr="00446F27">
        <w:tab/>
        <w:t xml:space="preserve">If no objection is filed by the prosecuting or law enforcement agency, an administrative hearing officer, appointed by the director of the South Carolina Department of Probation, Parole and Pardon Services, may review the application and submit to the South Carolina Board of Paroles and Pardons written findings of fact and recommendations which must be taken into consideration when the board is making a determination as to whether to recommend expungement of the applicant’s records.   </w:t>
      </w:r>
      <w:r w:rsidRPr="00446F27">
        <w:tab/>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t>(H)</w:t>
      </w:r>
      <w:r w:rsidRPr="00446F27">
        <w:tab/>
        <w:t xml:space="preserve">If the South Carolina Board of Paroles and Pardons, acting in a three-member panel or meeting as a full board, recommends expungement of the applicant’s records, ten years have passed since the completion of all terms and conditions of the person’s sentence, including payment of restitution, and the person has had no other convictions other than minor traffic offenses during the ten-year period, the person may apply to the appropriate solicitors office for expungement pursuant to Article 9, Chapter 22, of Title 17.   </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t>(I)(1)</w:t>
      </w:r>
      <w:r w:rsidRPr="00446F27">
        <w:tab/>
        <w:t xml:space="preserve">No person may have the person’s records expunged pursuant to this section more than once.   </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F27">
        <w:tab/>
      </w:r>
      <w:r w:rsidRPr="00446F27">
        <w:tab/>
        <w:t>(2)</w:t>
      </w:r>
      <w:r w:rsidRPr="00446F27">
        <w:tab/>
        <w:t xml:space="preserve">After the expungement, the South Carolina Department of Probation, Parole and Pardon Services and the South Carolina Law Enforcement Division shall keep a nonpublic record of the offense and the order of expungement to ensure that no person takes advantage of the rights of this section more than once.  The nonpublic record is not subject to release pursuant to Section 34-11-95, the Freedom of Information Act, or any other provision of </w:t>
      </w:r>
      <w:r w:rsidRPr="00446F27">
        <w:lastRenderedPageBreak/>
        <w:t>law except to those authorized law or court officials who need to know the information in order to prevent the rights afforded by this section from being taken advantage of more than once.”</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46F27">
        <w:t>SECTION</w:t>
      </w:r>
      <w:r w:rsidRPr="00446F27">
        <w:tab/>
        <w:t>2.</w:t>
      </w:r>
      <w:r w:rsidRPr="00446F27">
        <w:tab/>
        <w:t>This act takes effect six months after approval by the Governor.</w:t>
      </w:r>
      <w:r w:rsidRPr="00446F27">
        <w:tab/>
      </w:r>
      <w:r w:rsidRPr="00446F27">
        <w:rPr>
          <w:u w:color="000000" w:themeColor="text1"/>
        </w:rPr>
        <w:tab/>
        <w:t>/</w:t>
      </w:r>
    </w:p>
    <w:p w:rsidR="006A5452"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46F27">
        <w:rPr>
          <w:snapToGrid w:val="0"/>
        </w:rPr>
        <w:t xml:space="preserve">Renumber sections to conform.    </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46F27">
        <w:rPr>
          <w:snapToGrid w:val="0"/>
        </w:rPr>
        <w:t>Amend title to conform.</w:t>
      </w:r>
    </w:p>
    <w:p w:rsidR="006A5452" w:rsidRPr="00446F27"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452" w:rsidRDefault="006A5452" w:rsidP="00F1051B">
      <w:pPr>
        <w:pStyle w:val="BillDots"/>
      </w:pPr>
      <w:r>
        <w:t>VINCENT A. SHEHEEN for Committee.</w:t>
      </w:r>
    </w:p>
    <w:p w:rsidR="006A5452" w:rsidRPr="006A5452" w:rsidRDefault="006A5452" w:rsidP="006A5452">
      <w:pPr>
        <w:pStyle w:val="BillDots"/>
        <w:jc w:val="center"/>
      </w:pPr>
      <w:r>
        <w:rPr>
          <w:u w:val="single"/>
        </w:rPr>
        <w:t>            </w:t>
      </w:r>
    </w:p>
    <w:p w:rsidR="00AC2312" w:rsidRDefault="00AC2312" w:rsidP="00F1051B">
      <w:pPr>
        <w:pStyle w:val="BillDots"/>
      </w:pPr>
    </w:p>
    <w:p w:rsidR="006A5452" w:rsidRPr="006A5452" w:rsidRDefault="006A5452" w:rsidP="006A5452">
      <w:pPr>
        <w:pStyle w:val="BillDots"/>
        <w:jc w:val="center"/>
      </w:pPr>
      <w:r>
        <w:rPr>
          <w:b/>
          <w:u w:val="single"/>
        </w:rPr>
        <w:t>STATEMENT OF ESTIMATED FISCAL IMPACT</w:t>
      </w:r>
    </w:p>
    <w:p w:rsidR="006A5452" w:rsidRPr="005022AD"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022AD">
        <w:rPr>
          <w:szCs w:val="22"/>
        </w:rPr>
        <w:t>ESTIMATED FISCAL IMPACT ON GENERAL FUND EXPENDITURES:</w:t>
      </w:r>
    </w:p>
    <w:p w:rsidR="006A5452" w:rsidRPr="005022AD"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022AD">
        <w:rPr>
          <w:szCs w:val="22"/>
        </w:rPr>
        <w:t>$0 (No additional expenditures or savings are expected)</w:t>
      </w:r>
    </w:p>
    <w:p w:rsidR="006A5452" w:rsidRPr="005022AD"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022AD">
        <w:rPr>
          <w:szCs w:val="22"/>
        </w:rPr>
        <w:t>ESTIMATED FISCAL IMPACT ON FEDERAL &amp; OTHER FUND EXPENDITURES:</w:t>
      </w:r>
    </w:p>
    <w:p w:rsidR="006A5452" w:rsidRPr="005022AD" w:rsidRDefault="006A5452" w:rsidP="006A545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022AD">
        <w:rPr>
          <w:szCs w:val="22"/>
        </w:rPr>
        <w:t>$0 (No additional expenditures or savings are expected)</w:t>
      </w:r>
      <w:bookmarkStart w:id="2" w:name="c"/>
      <w:bookmarkEnd w:id="2"/>
    </w:p>
    <w:p w:rsidR="006A5452" w:rsidRPr="005022AD"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022AD">
        <w:rPr>
          <w:b/>
          <w:szCs w:val="22"/>
        </w:rPr>
        <w:t>EXPLANATION OF IMPACT:</w:t>
      </w:r>
    </w:p>
    <w:p w:rsidR="006A5452" w:rsidRPr="005022AD" w:rsidRDefault="006A5452" w:rsidP="006A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022AD">
        <w:rPr>
          <w:szCs w:val="22"/>
        </w:rPr>
        <w:t xml:space="preserve">The Judicial Department and the Department of Corrections indicate that this </w:t>
      </w:r>
      <w:r>
        <w:rPr>
          <w:szCs w:val="22"/>
        </w:rPr>
        <w:t>b</w:t>
      </w:r>
      <w:r w:rsidRPr="005022AD">
        <w:rPr>
          <w:szCs w:val="22"/>
        </w:rPr>
        <w:t xml:space="preserve">ill will have no fiscal impact on the General Fund of the State, or on </w:t>
      </w:r>
      <w:r>
        <w:rPr>
          <w:szCs w:val="22"/>
        </w:rPr>
        <w:t>f</w:t>
      </w:r>
      <w:r w:rsidRPr="005022AD">
        <w:rPr>
          <w:szCs w:val="22"/>
        </w:rPr>
        <w:t xml:space="preserve">ederal and/or </w:t>
      </w:r>
      <w:r>
        <w:rPr>
          <w:szCs w:val="22"/>
        </w:rPr>
        <w:t>o</w:t>
      </w:r>
      <w:r w:rsidRPr="005022AD">
        <w:rPr>
          <w:szCs w:val="22"/>
        </w:rPr>
        <w:t xml:space="preserve">ther </w:t>
      </w:r>
      <w:r>
        <w:rPr>
          <w:szCs w:val="22"/>
        </w:rPr>
        <w:t>f</w:t>
      </w:r>
      <w:r w:rsidRPr="005022AD">
        <w:rPr>
          <w:szCs w:val="22"/>
        </w:rPr>
        <w:t>unds.</w:t>
      </w:r>
    </w:p>
    <w:p w:rsidR="006A5452" w:rsidRDefault="006A5452" w:rsidP="00F1051B">
      <w:pPr>
        <w:pStyle w:val="BillDots"/>
      </w:pPr>
    </w:p>
    <w:p w:rsidR="006A5452" w:rsidRDefault="006A5452" w:rsidP="006A545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A5452" w:rsidRDefault="006A5452" w:rsidP="006A5452">
      <w:pPr>
        <w:pStyle w:val="BillDots"/>
        <w:tabs>
          <w:tab w:val="clear" w:pos="216"/>
          <w:tab w:val="clear" w:pos="432"/>
          <w:tab w:val="clear" w:pos="648"/>
          <w:tab w:val="clear" w:pos="864"/>
          <w:tab w:val="clear" w:pos="1080"/>
          <w:tab w:val="clear" w:pos="1296"/>
          <w:tab w:val="clear" w:pos="5904"/>
          <w:tab w:val="left" w:pos="3024"/>
        </w:tabs>
      </w:pPr>
      <w:r>
        <w:tab/>
        <w:t>Brenda Hart</w:t>
      </w:r>
    </w:p>
    <w:p w:rsidR="006A5452" w:rsidRPr="006A5452" w:rsidRDefault="006A5452" w:rsidP="006A545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A5452" w:rsidRDefault="006A5452" w:rsidP="00F1051B">
      <w:pPr>
        <w:pStyle w:val="BillDots"/>
      </w:pPr>
    </w:p>
    <w:p w:rsidR="006A5452" w:rsidRDefault="006A5452" w:rsidP="00F1051B">
      <w:pPr>
        <w:pStyle w:val="BillDots"/>
        <w:sectPr w:rsidR="006A5452" w:rsidSect="00AC23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051B" w:rsidRDefault="00F1051B" w:rsidP="00F1051B">
      <w:pPr>
        <w:pStyle w:val="BillDots"/>
      </w:pPr>
    </w:p>
    <w:p w:rsidR="00F1051B" w:rsidRDefault="00F1051B" w:rsidP="00F1051B">
      <w:pPr>
        <w:pStyle w:val="Numbersforbill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6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37A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5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24</w:t>
      </w:r>
      <w:r>
        <w:noBreakHyphen/>
        <w:t>21</w:t>
      </w:r>
      <w:r>
        <w:noBreakHyphen/>
        <w:t xml:space="preserve">925 SO AS TO PROVIDE THAT A LIMITED PARDON MAY BE GRANTED TO A PERSON WHO HAS BEEN CONVICTED OF A NONVIOLENT FELONY OFFENSE THAT WOULD ALLOW HIM TO </w:t>
      </w:r>
      <w:r w:rsidR="0031649E">
        <w:t>CARRY A FIREARM USED FOR HUNTING TO AND FROM HIS HUNTING DESTINATION AND USE IT WHILE HUNTING.</w:t>
      </w:r>
    </w:p>
    <w:p w:rsidR="00F37A64" w:rsidRDefault="00F3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37A64" w:rsidRDefault="00F3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7A64" w:rsidRDefault="00F3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FE" w:rsidRDefault="004F27FE" w:rsidP="004F2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9D6">
        <w:t>SECTION</w:t>
      </w:r>
      <w:r w:rsidRPr="00E269D6">
        <w:tab/>
      </w:r>
      <w:r>
        <w:t>1</w:t>
      </w:r>
      <w:r w:rsidRPr="00E269D6">
        <w:t>.</w:t>
      </w:r>
      <w:r w:rsidRPr="00E269D6">
        <w:tab/>
        <w:t>Article 11, Chapter, 21 Title 24 of the 1976 Code is amended by adding:</w:t>
      </w:r>
    </w:p>
    <w:p w:rsidR="004F27FE" w:rsidRPr="00E269D6" w:rsidRDefault="004F27FE" w:rsidP="004F2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D15" w:rsidRDefault="004F27FE" w:rsidP="004F2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69D6">
        <w:tab/>
        <w:t>“Section 24</w:t>
      </w:r>
      <w:r w:rsidRPr="00E269D6">
        <w:noBreakHyphen/>
        <w:t>21</w:t>
      </w:r>
      <w:r w:rsidRPr="00E269D6">
        <w:noBreakHyphen/>
        <w:t>1010.</w:t>
      </w:r>
      <w:r w:rsidRPr="00E269D6">
        <w:tab/>
        <w:t>a person who has received a pardon for any crime except criminal sexual conduct or a crime of violence as defined in Section 16</w:t>
      </w:r>
      <w:r w:rsidRPr="00E269D6">
        <w:noBreakHyphen/>
        <w:t>23</w:t>
      </w:r>
      <w:r w:rsidRPr="00E269D6">
        <w:noBreakHyphen/>
        <w:t>10(3), may apply, or cause someone acting on his behalf to apply to the circuit court for an order expunging the records of his arrest and conviction.”</w:t>
      </w:r>
    </w:p>
    <w:p w:rsidR="00F37A64" w:rsidRDefault="00F3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5D15">
        <w:t>2</w:t>
      </w:r>
      <w:r>
        <w:t>.</w:t>
      </w:r>
      <w:r>
        <w:tab/>
        <w:t>This act takes effect upon approval by the Governor.</w:t>
      </w:r>
    </w:p>
    <w:p w:rsidR="00A2677A" w:rsidRDefault="00F75D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677A" w:rsidRDefault="00A2677A" w:rsidP="008C1DC1">
      <w:pPr>
        <w:suppressAutoHyphens/>
      </w:pPr>
    </w:p>
    <w:sectPr w:rsidR="00A2677A" w:rsidSect="00AC23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A64" w:rsidRDefault="00F37A64" w:rsidP="009F0C77">
      <w:r>
        <w:separator/>
      </w:r>
    </w:p>
  </w:endnote>
  <w:endnote w:type="continuationSeparator" w:id="0">
    <w:p w:rsidR="00F37A64" w:rsidRDefault="00F37A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44BE93-7AF0-4CCA-9CE0-80170355D8F0}"/>
    <w:embedBold r:id="rId2" w:fontKey="{19979ECA-F9C7-40CE-B3B5-F5B725AA5433}"/>
    <w:embedItalic r:id="rId3" w:fontKey="{97306B5B-1F8B-4D12-B6BF-DD58780AE674}"/>
  </w:font>
  <w:font w:name="Calibri">
    <w:panose1 w:val="020F0502020204030204"/>
    <w:charset w:val="00"/>
    <w:family w:val="swiss"/>
    <w:pitch w:val="variable"/>
    <w:sig w:usb0="A00002EF" w:usb1="4000207B" w:usb2="00000000" w:usb3="00000000" w:csb0="0000009F" w:csb1="00000000"/>
    <w:embedRegular r:id="rId4" w:fontKey="{DEEAAAD0-481F-404C-8340-DA53904A7A8A}"/>
  </w:font>
  <w:font w:name="Tahoma">
    <w:panose1 w:val="020B0604030504040204"/>
    <w:charset w:val="00"/>
    <w:family w:val="swiss"/>
    <w:pitch w:val="variable"/>
    <w:sig w:usb0="61002A87" w:usb1="80000000" w:usb2="00000008" w:usb3="00000000" w:csb0="000101FF" w:csb1="00000000"/>
    <w:embedRegular r:id="rId5" w:fontKey="{30F3987D-E42C-4D90-BC2A-0170AEE77315}"/>
  </w:font>
  <w:font w:name="Cambria">
    <w:panose1 w:val="02040503050406030204"/>
    <w:charset w:val="00"/>
    <w:family w:val="roman"/>
    <w:pitch w:val="variable"/>
    <w:sig w:usb0="A00002EF" w:usb1="4000004B" w:usb2="00000000" w:usb3="00000000" w:csb0="0000009F" w:csb1="00000000"/>
    <w:embedRegular r:id="rId6" w:fontKey="{98E755EA-D071-46C7-A4A4-EE0F7AEF1A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124" w:rsidRPr="00A2677A" w:rsidRDefault="00A2677A" w:rsidP="00A2677A">
    <w:pPr>
      <w:pStyle w:val="Footer"/>
      <w:tabs>
        <w:tab w:val="clear" w:pos="4680"/>
        <w:tab w:val="clear" w:pos="9360"/>
        <w:tab w:val="center" w:pos="2995"/>
      </w:tabs>
      <w:spacing w:before="120"/>
    </w:pPr>
    <w:r>
      <w:t>[3127</w:t>
    </w:r>
    <w:r w:rsidR="00AC2312">
      <w:t>-</w:t>
    </w:r>
    <w:fldSimple w:instr=" PAGE  \* MERGEFORMAT ">
      <w:r w:rsidR="008C1DC1">
        <w:rPr>
          <w:noProof/>
        </w:rPr>
        <w:t>4</w:t>
      </w:r>
    </w:fldSimple>
    <w:r w:rsidR="00AC231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312" w:rsidRPr="00A2677A" w:rsidRDefault="00AC2312" w:rsidP="00A2677A">
    <w:pPr>
      <w:pStyle w:val="Footer"/>
      <w:tabs>
        <w:tab w:val="clear" w:pos="4680"/>
        <w:tab w:val="clear" w:pos="9360"/>
        <w:tab w:val="center" w:pos="2995"/>
      </w:tabs>
      <w:spacing w:before="120"/>
    </w:pPr>
    <w:r>
      <w:t>[3127]</w:t>
    </w:r>
    <w:r>
      <w:tab/>
    </w:r>
    <w:fldSimple w:instr=" PAGE  \* MERGEFORMAT ">
      <w:r w:rsidR="008C1D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A64" w:rsidRDefault="00F37A64" w:rsidP="009F0C77">
      <w:r>
        <w:separator/>
      </w:r>
    </w:p>
  </w:footnote>
  <w:footnote w:type="continuationSeparator" w:id="0">
    <w:p w:rsidR="00F37A64" w:rsidRDefault="00F37A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35CM11"/>
    <w:docVar w:name="CoverBillType" w:val="b"/>
    <w:docVar w:name="docpath" w:val="L:\Council\bills\SWB\9835CM11.DOCX"/>
    <w:docVar w:name="dvBillNumber" w:val="3127"/>
    <w:docVar w:name="dvBillNumberPrefix" w:val="H. "/>
    <w:docVar w:name="dvOriginalBody" w:val="House"/>
    <w:docVar w:name="dvSteno" w:val="SWB"/>
    <w:docVar w:name="NameofBody" w:val="h"/>
    <w:docVar w:name="vgroup2" w:val="Council"/>
  </w:docVars>
  <w:rsids>
    <w:rsidRoot w:val="003A7A22"/>
    <w:rsid w:val="000040E2"/>
    <w:rsid w:val="00010124"/>
    <w:rsid w:val="00011869"/>
    <w:rsid w:val="0002657E"/>
    <w:rsid w:val="00085455"/>
    <w:rsid w:val="000E1785"/>
    <w:rsid w:val="000F40FA"/>
    <w:rsid w:val="0010776B"/>
    <w:rsid w:val="00133E66"/>
    <w:rsid w:val="001435A3"/>
    <w:rsid w:val="001671C9"/>
    <w:rsid w:val="00192686"/>
    <w:rsid w:val="001D08F2"/>
    <w:rsid w:val="001D525B"/>
    <w:rsid w:val="001D7F4F"/>
    <w:rsid w:val="002321B6"/>
    <w:rsid w:val="00250967"/>
    <w:rsid w:val="002543C8"/>
    <w:rsid w:val="00263A68"/>
    <w:rsid w:val="00284AAE"/>
    <w:rsid w:val="002B76B2"/>
    <w:rsid w:val="002C0606"/>
    <w:rsid w:val="002E5912"/>
    <w:rsid w:val="0031649E"/>
    <w:rsid w:val="00325348"/>
    <w:rsid w:val="0032732C"/>
    <w:rsid w:val="00336AD0"/>
    <w:rsid w:val="00350913"/>
    <w:rsid w:val="00354CC2"/>
    <w:rsid w:val="0037079A"/>
    <w:rsid w:val="003A7A22"/>
    <w:rsid w:val="003D01E8"/>
    <w:rsid w:val="003E5288"/>
    <w:rsid w:val="003F6D79"/>
    <w:rsid w:val="0041760A"/>
    <w:rsid w:val="00417C01"/>
    <w:rsid w:val="004809EE"/>
    <w:rsid w:val="004E7D54"/>
    <w:rsid w:val="004F27FE"/>
    <w:rsid w:val="005273C6"/>
    <w:rsid w:val="00530A69"/>
    <w:rsid w:val="00545593"/>
    <w:rsid w:val="00570323"/>
    <w:rsid w:val="00577C6C"/>
    <w:rsid w:val="005C2FE2"/>
    <w:rsid w:val="005D4150"/>
    <w:rsid w:val="005E2BC9"/>
    <w:rsid w:val="00605102"/>
    <w:rsid w:val="006215AA"/>
    <w:rsid w:val="006913C9"/>
    <w:rsid w:val="0069470D"/>
    <w:rsid w:val="006A5452"/>
    <w:rsid w:val="006B57A6"/>
    <w:rsid w:val="006E5554"/>
    <w:rsid w:val="00710627"/>
    <w:rsid w:val="00734F00"/>
    <w:rsid w:val="007A70AE"/>
    <w:rsid w:val="008362E8"/>
    <w:rsid w:val="008A1768"/>
    <w:rsid w:val="008C1DC1"/>
    <w:rsid w:val="008F4429"/>
    <w:rsid w:val="0094021A"/>
    <w:rsid w:val="009C6A0B"/>
    <w:rsid w:val="009F0C77"/>
    <w:rsid w:val="009F4DD1"/>
    <w:rsid w:val="00A2677A"/>
    <w:rsid w:val="00A41684"/>
    <w:rsid w:val="00A64E80"/>
    <w:rsid w:val="00A72BCD"/>
    <w:rsid w:val="00A741D9"/>
    <w:rsid w:val="00A833AB"/>
    <w:rsid w:val="00A9741D"/>
    <w:rsid w:val="00AC2312"/>
    <w:rsid w:val="00AD4B17"/>
    <w:rsid w:val="00B412D4"/>
    <w:rsid w:val="00BE3C22"/>
    <w:rsid w:val="00BF61DD"/>
    <w:rsid w:val="00C0345E"/>
    <w:rsid w:val="00C3483A"/>
    <w:rsid w:val="00C74E9D"/>
    <w:rsid w:val="00C82FD3"/>
    <w:rsid w:val="00C92819"/>
    <w:rsid w:val="00CC6B7B"/>
    <w:rsid w:val="00CD2089"/>
    <w:rsid w:val="00D73A67"/>
    <w:rsid w:val="00D970A9"/>
    <w:rsid w:val="00DF3845"/>
    <w:rsid w:val="00E41911"/>
    <w:rsid w:val="00E92EEF"/>
    <w:rsid w:val="00E9789A"/>
    <w:rsid w:val="00F1051B"/>
    <w:rsid w:val="00F24442"/>
    <w:rsid w:val="00F37A64"/>
    <w:rsid w:val="00F50AE3"/>
    <w:rsid w:val="00F67CF1"/>
    <w:rsid w:val="00F75D1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5D15"/>
    <w:rPr>
      <w:rFonts w:ascii="Tahoma" w:hAnsi="Tahoma" w:cs="Tahoma"/>
      <w:sz w:val="16"/>
      <w:szCs w:val="16"/>
    </w:rPr>
  </w:style>
  <w:style w:type="character" w:customStyle="1" w:styleId="BalloonTextChar">
    <w:name w:val="Balloon Text Char"/>
    <w:basedOn w:val="DefaultParagraphFont"/>
    <w:link w:val="BalloonText"/>
    <w:uiPriority w:val="99"/>
    <w:semiHidden/>
    <w:rsid w:val="00F75D1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854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F0DED-08C1-4A28-B425-BAE5F09A5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1335</Words>
  <Characters>6957</Characters>
  <Application>Microsoft Office Word</Application>
  <DocSecurity>0</DocSecurity>
  <Lines>193</Lines>
  <Paragraphs>66</Paragraphs>
  <ScaleCrop>false</ScaleCrop>
  <Company> </Company>
  <LinksUpToDate>false</LinksUpToDate>
  <CharactersWithSpaces>8226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2011-04-12T18:30:00Z</cp:lastPrinted>
  <dcterms:created xsi:type="dcterms:W3CDTF">2012-05-30T21:28:00Z</dcterms:created>
  <dcterms:modified xsi:type="dcterms:W3CDTF">2012-05-30T21:28:00Z</dcterms:modified>
</cp:coreProperties>
</file>