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4D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0592">
        <w:rPr>
          <w:color w:val="000000" w:themeColor="text1"/>
          <w:u w:color="000000" w:themeColor="text1"/>
        </w:rPr>
        <w:t>TO AMEND SECTION 12</w:t>
      </w:r>
      <w:r w:rsidRPr="00D30592">
        <w:rPr>
          <w:color w:val="000000" w:themeColor="text1"/>
          <w:u w:color="000000" w:themeColor="text1"/>
        </w:rPr>
        <w:noBreakHyphen/>
        <w:t>37</w:t>
      </w:r>
      <w:r w:rsidRPr="00D30592">
        <w:rPr>
          <w:color w:val="000000" w:themeColor="text1"/>
          <w:u w:color="000000" w:themeColor="text1"/>
        </w:rPr>
        <w:noBreakHyphen/>
        <w:t>250,</w:t>
      </w:r>
      <w:r w:rsidR="00BB6CB1">
        <w:rPr>
          <w:color w:val="000000" w:themeColor="text1"/>
          <w:u w:color="000000" w:themeColor="text1"/>
        </w:rPr>
        <w:t xml:space="preserve"> AS AMENDED,</w:t>
      </w:r>
      <w:r w:rsidRPr="00D30592">
        <w:rPr>
          <w:color w:val="000000" w:themeColor="text1"/>
          <w:u w:color="000000" w:themeColor="text1"/>
        </w:rPr>
        <w:t xml:space="preserve"> CODE OF LAWS OF SOUTH CAROLINA, 1976, RELATING TO THE HOMESTEAD TAX EXEMPTION, SO AS TO PROVIDE THAT WHEN A</w:t>
      </w:r>
      <w:r>
        <w:rPr>
          <w:color w:val="000000" w:themeColor="text1"/>
          <w:u w:color="000000" w:themeColor="text1"/>
        </w:rPr>
        <w:t xml:space="preserve"> PERSON WHO IS ENTITLED TO THE </w:t>
      </w:r>
      <w:r w:rsidRPr="00D30592">
        <w:rPr>
          <w:color w:val="000000" w:themeColor="text1"/>
          <w:u w:color="000000" w:themeColor="text1"/>
        </w:rPr>
        <w:t xml:space="preserve">EXEMPTION REQUIRES DAILY MEDICAL ATTENTION, AND IT IS NECESSARY FOR THE PERSON TO RESIDE ELSEWHERE, THE PERSON </w:t>
      </w:r>
      <w:r>
        <w:rPr>
          <w:color w:val="000000" w:themeColor="text1"/>
          <w:u w:color="000000" w:themeColor="text1"/>
        </w:rPr>
        <w:t>MUST</w:t>
      </w:r>
      <w:r w:rsidRPr="00D30592">
        <w:rPr>
          <w:color w:val="000000" w:themeColor="text1"/>
          <w:u w:color="000000" w:themeColor="text1"/>
        </w:rPr>
        <w:t xml:space="preserve"> BE GRANTED THE HOMESTEAD TAX EXEMPTION; AND TO AMEND SECTION 12</w:t>
      </w:r>
      <w:r w:rsidRPr="00D30592">
        <w:rPr>
          <w:color w:val="000000" w:themeColor="text1"/>
          <w:u w:color="000000" w:themeColor="text1"/>
        </w:rPr>
        <w:noBreakHyphen/>
      </w:r>
      <w:r w:rsidR="00BB6CB1">
        <w:rPr>
          <w:color w:val="000000" w:themeColor="text1"/>
          <w:u w:color="000000" w:themeColor="text1"/>
        </w:rPr>
        <w:t>43</w:t>
      </w:r>
      <w:r w:rsidRPr="00D30592">
        <w:rPr>
          <w:color w:val="000000" w:themeColor="text1"/>
          <w:u w:color="000000" w:themeColor="text1"/>
        </w:rPr>
        <w:noBreakHyphen/>
        <w:t>220</w:t>
      </w:r>
      <w:r w:rsidR="00BB6CB1">
        <w:rPr>
          <w:color w:val="000000" w:themeColor="text1"/>
          <w:u w:color="000000" w:themeColor="text1"/>
        </w:rPr>
        <w:t>, AS AMENDED,</w:t>
      </w:r>
      <w:r w:rsidRPr="00D30592">
        <w:rPr>
          <w:color w:val="000000" w:themeColor="text1"/>
          <w:u w:color="000000" w:themeColor="text1"/>
        </w:rPr>
        <w:t xml:space="preserve"> RELATING TO ASSESSMENT RATIOS,</w:t>
      </w:r>
      <w:r w:rsidR="00BB6CB1">
        <w:rPr>
          <w:color w:val="000000" w:themeColor="text1"/>
          <w:u w:color="000000" w:themeColor="text1"/>
        </w:rPr>
        <w:t xml:space="preserve"> SO AS</w:t>
      </w:r>
      <w:r w:rsidRPr="00D30592">
        <w:rPr>
          <w:color w:val="000000" w:themeColor="text1"/>
          <w:u w:color="000000" w:themeColor="text1"/>
        </w:rPr>
        <w:t xml:space="preserve"> TO PROVIDE THAT WHEN A PERSON WHO IS ENTITLED TO THE SPECIAL FOUR PERCENT ASSESSMENT RATIO REQUIRES DAILY MEDICAL ATTENTION, AND IT IS NECESSARY FOR THE PERSON TO RESIDE ELSEWHERE, THE PERSON </w:t>
      </w:r>
      <w:r>
        <w:rPr>
          <w:color w:val="000000" w:themeColor="text1"/>
          <w:u w:color="000000" w:themeColor="text1"/>
        </w:rPr>
        <w:t>MUST</w:t>
      </w:r>
      <w:r w:rsidRPr="00D30592">
        <w:rPr>
          <w:color w:val="000000" w:themeColor="text1"/>
          <w:u w:color="000000" w:themeColor="text1"/>
        </w:rPr>
        <w:t xml:space="preserve"> BE GRANTED THE SPECIAL ASSESSMENT RATIO.</w:t>
      </w:r>
    </w:p>
    <w:p w:rsidR="00214DA9" w:rsidRDefault="00214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4DA9" w:rsidRDefault="00214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DA9" w:rsidRDefault="00214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30592">
        <w:rPr>
          <w:color w:val="000000" w:themeColor="text1"/>
          <w:u w:color="000000" w:themeColor="text1"/>
        </w:rPr>
        <w:t>1.</w:t>
      </w:r>
      <w:r>
        <w:rPr>
          <w:color w:val="000000" w:themeColor="text1"/>
          <w:u w:color="000000" w:themeColor="text1"/>
        </w:rPr>
        <w:tab/>
      </w:r>
      <w:r w:rsidRPr="00D30592">
        <w:rPr>
          <w:color w:val="000000" w:themeColor="text1"/>
          <w:u w:color="000000" w:themeColor="text1"/>
        </w:rPr>
        <w:t>Section 12</w:t>
      </w:r>
      <w:r w:rsidRPr="00D30592">
        <w:rPr>
          <w:color w:val="000000" w:themeColor="text1"/>
          <w:u w:color="000000" w:themeColor="text1"/>
        </w:rPr>
        <w:noBreakHyphen/>
        <w:t>37</w:t>
      </w:r>
      <w:r w:rsidRPr="00D30592">
        <w:rPr>
          <w:color w:val="000000" w:themeColor="text1"/>
          <w:u w:color="000000" w:themeColor="text1"/>
        </w:rPr>
        <w:noBreakHyphen/>
        <w:t xml:space="preserve">250 of the 1976 Code, as last amended by Act 184 of 2008, is further amended by adding an appropriately </w:t>
      </w:r>
      <w:r w:rsidR="00BB6CB1">
        <w:rPr>
          <w:color w:val="000000" w:themeColor="text1"/>
          <w:u w:color="000000" w:themeColor="text1"/>
        </w:rPr>
        <w:t>lettered</w:t>
      </w:r>
      <w:r w:rsidRPr="00D30592">
        <w:rPr>
          <w:color w:val="000000" w:themeColor="text1"/>
          <w:u w:color="000000" w:themeColor="text1"/>
        </w:rPr>
        <w:t xml:space="preserve"> subsection at the end to read:</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0592">
        <w:rPr>
          <w:color w:val="000000" w:themeColor="text1"/>
          <w:u w:color="000000" w:themeColor="text1"/>
        </w:rPr>
        <w:t>“</w:t>
      </w:r>
      <w:r>
        <w:rPr>
          <w:color w:val="000000" w:themeColor="text1"/>
          <w:u w:color="000000" w:themeColor="text1"/>
        </w:rPr>
        <w:t>(  )</w:t>
      </w:r>
      <w:r>
        <w:rPr>
          <w:color w:val="000000" w:themeColor="text1"/>
          <w:u w:color="000000" w:themeColor="text1"/>
        </w:rPr>
        <w:tab/>
      </w:r>
      <w:r w:rsidRPr="00D30592">
        <w:rPr>
          <w:color w:val="000000" w:themeColor="text1"/>
          <w:u w:color="000000" w:themeColor="text1"/>
        </w:rPr>
        <w:t xml:space="preserve">When a person who is entitled to a homestead tax exemption pursuant to this section requires daily medical attention, and it is necessary for the person to reside elsewhere in order to obtain the medical attention, the person </w:t>
      </w:r>
      <w:r>
        <w:rPr>
          <w:color w:val="000000" w:themeColor="text1"/>
          <w:u w:color="000000" w:themeColor="text1"/>
        </w:rPr>
        <w:t>must</w:t>
      </w:r>
      <w:r w:rsidRPr="00D30592">
        <w:rPr>
          <w:color w:val="000000" w:themeColor="text1"/>
          <w:u w:color="000000" w:themeColor="text1"/>
        </w:rPr>
        <w:t xml:space="preserve"> be granted the homestead tax exemption so long as the person otherwise qualifies for the exemption.”</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92">
        <w:rPr>
          <w:color w:val="000000" w:themeColor="text1"/>
          <w:u w:color="000000" w:themeColor="text1"/>
        </w:rPr>
        <w:lastRenderedPageBreak/>
        <w:t>SEC</w:t>
      </w:r>
      <w:r>
        <w:rPr>
          <w:color w:val="000000" w:themeColor="text1"/>
          <w:u w:color="000000" w:themeColor="text1"/>
        </w:rPr>
        <w:t>TION</w:t>
      </w:r>
      <w:r>
        <w:rPr>
          <w:color w:val="000000" w:themeColor="text1"/>
          <w:u w:color="000000" w:themeColor="text1"/>
        </w:rPr>
        <w:tab/>
      </w:r>
      <w:r w:rsidRPr="00D30592">
        <w:rPr>
          <w:color w:val="000000" w:themeColor="text1"/>
          <w:u w:color="000000" w:themeColor="text1"/>
        </w:rPr>
        <w:t>2.</w:t>
      </w:r>
      <w:r>
        <w:rPr>
          <w:color w:val="000000" w:themeColor="text1"/>
          <w:u w:color="000000" w:themeColor="text1"/>
        </w:rPr>
        <w:tab/>
      </w:r>
      <w:r w:rsidRPr="00D30592">
        <w:rPr>
          <w:color w:val="000000" w:themeColor="text1"/>
          <w:u w:color="000000" w:themeColor="text1"/>
        </w:rPr>
        <w:t>Section 12</w:t>
      </w:r>
      <w:r w:rsidRPr="00D30592">
        <w:rPr>
          <w:color w:val="000000" w:themeColor="text1"/>
          <w:u w:color="000000" w:themeColor="text1"/>
        </w:rPr>
        <w:noBreakHyphen/>
        <w:t>43</w:t>
      </w:r>
      <w:r w:rsidRPr="00D30592">
        <w:rPr>
          <w:color w:val="000000" w:themeColor="text1"/>
          <w:u w:color="000000" w:themeColor="text1"/>
        </w:rPr>
        <w:noBreakHyphen/>
        <w:t>220(c) of the 1976 Code, as last amended by Act 76 of 2009, is further amended by adding an appropriately numbered subitem at the end to read:</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CFD"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0592">
        <w:rPr>
          <w:color w:val="000000" w:themeColor="text1"/>
          <w:u w:color="000000" w:themeColor="text1"/>
        </w:rPr>
        <w:t>“</w:t>
      </w:r>
      <w:r>
        <w:rPr>
          <w:color w:val="000000" w:themeColor="text1"/>
          <w:u w:color="000000" w:themeColor="text1"/>
        </w:rPr>
        <w:t>(  )</w:t>
      </w:r>
      <w:r>
        <w:rPr>
          <w:color w:val="000000" w:themeColor="text1"/>
          <w:u w:color="000000" w:themeColor="text1"/>
        </w:rPr>
        <w:tab/>
      </w:r>
      <w:r w:rsidRPr="00D30592">
        <w:rPr>
          <w:color w:val="000000" w:themeColor="text1"/>
          <w:u w:color="000000" w:themeColor="text1"/>
        </w:rPr>
        <w:t xml:space="preserve">When an owner who is entitled to the special assessment rate pursuant to this subsection requires daily medical attention, and it is necessary for the person to reside and be domiciled elsewhere in order to obtain the medical attention, the person </w:t>
      </w:r>
      <w:r>
        <w:rPr>
          <w:color w:val="000000" w:themeColor="text1"/>
          <w:u w:color="000000" w:themeColor="text1"/>
        </w:rPr>
        <w:t>must</w:t>
      </w:r>
      <w:r w:rsidRPr="00D30592">
        <w:rPr>
          <w:color w:val="000000" w:themeColor="text1"/>
          <w:u w:color="000000" w:themeColor="text1"/>
        </w:rPr>
        <w:t xml:space="preserve"> be granted the special assessment rate so long as the person otherwise qualifies for the special assessment rate.”</w:t>
      </w:r>
    </w:p>
    <w:p w:rsidR="000C4CFD" w:rsidRPr="00D30592"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4CFD" w:rsidP="000C4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30592">
        <w:rPr>
          <w:color w:val="000000" w:themeColor="text1"/>
          <w:u w:color="000000" w:themeColor="text1"/>
        </w:rPr>
        <w:t>3.</w:t>
      </w:r>
      <w:r>
        <w:rPr>
          <w:color w:val="000000" w:themeColor="text1"/>
          <w:u w:color="000000" w:themeColor="text1"/>
        </w:rPr>
        <w:tab/>
      </w:r>
      <w:r w:rsidRPr="00D30592">
        <w:rPr>
          <w:color w:val="000000" w:themeColor="text1"/>
          <w:u w:color="000000" w:themeColor="text1"/>
        </w:rPr>
        <w:t>This act takes effect upon approval by the Governor and applies for property tax years beginning after 2010.</w:t>
      </w:r>
    </w:p>
    <w:p w:rsidR="00C164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455" w:rsidRDefault="00C16455" w:rsidP="00C16455">
      <w:pPr>
        <w:suppressAutoHyphens/>
      </w:pPr>
    </w:p>
    <w:sectPr w:rsidR="00C16455" w:rsidSect="00C16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DA9" w:rsidRDefault="00214DA9" w:rsidP="009F0C77">
      <w:r>
        <w:separator/>
      </w:r>
    </w:p>
  </w:endnote>
  <w:endnote w:type="continuationSeparator" w:id="0">
    <w:p w:rsidR="00214DA9" w:rsidRDefault="00214D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0A618-F791-4B94-854D-772170C57E98}"/>
    <w:embedBold r:id="rId2" w:fontKey="{1E7FF20B-F608-4916-B2B2-D726B118DDF5}"/>
  </w:font>
  <w:font w:name="Calibri">
    <w:panose1 w:val="020F0502020204030204"/>
    <w:charset w:val="00"/>
    <w:family w:val="swiss"/>
    <w:pitch w:val="variable"/>
    <w:sig w:usb0="A00002EF" w:usb1="4000207B" w:usb2="00000000" w:usb3="00000000" w:csb0="0000009F" w:csb1="00000000"/>
    <w:embedRegular r:id="rId3" w:fontKey="{9043D0DB-443D-404E-8952-F37533ED9ACF}"/>
  </w:font>
  <w:font w:name="Cambria">
    <w:panose1 w:val="02040503050406030204"/>
    <w:charset w:val="00"/>
    <w:family w:val="roman"/>
    <w:pitch w:val="variable"/>
    <w:sig w:usb0="A00002EF" w:usb1="4000004B" w:usb2="00000000" w:usb3="00000000" w:csb0="0000009F" w:csb1="00000000"/>
    <w:embedRegular r:id="rId4" w:fontKey="{7801B8BA-BFCF-432C-B74F-0ACE03FEAA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AD2" w:rsidRPr="00C16455" w:rsidRDefault="00C16455" w:rsidP="00C16455">
    <w:pPr>
      <w:pStyle w:val="Footer"/>
      <w:tabs>
        <w:tab w:val="clear" w:pos="4680"/>
        <w:tab w:val="clear" w:pos="9360"/>
        <w:tab w:val="center" w:pos="2995"/>
      </w:tabs>
      <w:spacing w:before="120"/>
    </w:pPr>
    <w:r>
      <w:t>[389]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DA9" w:rsidRDefault="00214DA9" w:rsidP="009F0C77">
      <w:r>
        <w:separator/>
      </w:r>
    </w:p>
  </w:footnote>
  <w:footnote w:type="continuationSeparator" w:id="0">
    <w:p w:rsidR="00214DA9" w:rsidRDefault="00214D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4DG11"/>
    <w:docVar w:name="CoverBillType" w:val="b"/>
    <w:docVar w:name="docpath" w:val="L:\Council\bills\NBD\11134DG11.DOCX"/>
    <w:docVar w:name="dvBillNumber" w:val="389"/>
    <w:docVar w:name="dvBillNumberPrefix" w:val="S. "/>
    <w:docVar w:name="dvOriginalBody" w:val="Senate"/>
    <w:docVar w:name="dvSteno" w:val="NBD"/>
    <w:docVar w:name="NameofBody" w:val="s"/>
    <w:docVar w:name="vgroup2" w:val="Council"/>
  </w:docVars>
  <w:rsids>
    <w:rsidRoot w:val="009A2CE8"/>
    <w:rsid w:val="00026C9A"/>
    <w:rsid w:val="00053C27"/>
    <w:rsid w:val="000965A1"/>
    <w:rsid w:val="000C4CFD"/>
    <w:rsid w:val="000E1785"/>
    <w:rsid w:val="001023A4"/>
    <w:rsid w:val="0010776B"/>
    <w:rsid w:val="00133E66"/>
    <w:rsid w:val="00134ACF"/>
    <w:rsid w:val="00144E15"/>
    <w:rsid w:val="001A4A62"/>
    <w:rsid w:val="001A681E"/>
    <w:rsid w:val="001D08F2"/>
    <w:rsid w:val="002037CA"/>
    <w:rsid w:val="002047A2"/>
    <w:rsid w:val="00214DA9"/>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29C4"/>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542A"/>
    <w:rsid w:val="008F4429"/>
    <w:rsid w:val="009352BB"/>
    <w:rsid w:val="00990668"/>
    <w:rsid w:val="009A2CE8"/>
    <w:rsid w:val="009F0C77"/>
    <w:rsid w:val="009F4DD1"/>
    <w:rsid w:val="00A64E80"/>
    <w:rsid w:val="00A741D9"/>
    <w:rsid w:val="00A9741D"/>
    <w:rsid w:val="00AD4B17"/>
    <w:rsid w:val="00B26FA6"/>
    <w:rsid w:val="00B741CB"/>
    <w:rsid w:val="00B91D27"/>
    <w:rsid w:val="00B934F3"/>
    <w:rsid w:val="00BB6347"/>
    <w:rsid w:val="00BB6CB1"/>
    <w:rsid w:val="00BD2134"/>
    <w:rsid w:val="00C038D8"/>
    <w:rsid w:val="00C045DD"/>
    <w:rsid w:val="00C16455"/>
    <w:rsid w:val="00C3136F"/>
    <w:rsid w:val="00C3483A"/>
    <w:rsid w:val="00C74E9D"/>
    <w:rsid w:val="00C82FD3"/>
    <w:rsid w:val="00CC6B7B"/>
    <w:rsid w:val="00CD3619"/>
    <w:rsid w:val="00CF4447"/>
    <w:rsid w:val="00D1317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7AD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5BC02-3510-4C5F-9AA8-60B4987E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1641</Characters>
  <Application>Microsoft Office Word</Application>
  <DocSecurity>0</DocSecurity>
  <Lines>13</Lines>
  <Paragraphs>3</Paragraphs>
  <ScaleCrop>false</ScaleCrop>
  <Company> </Company>
  <LinksUpToDate>false</LinksUpToDate>
  <CharactersWithSpaces>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2011-01-19T19:46:00Z</dcterms:created>
  <dcterms:modified xsi:type="dcterms:W3CDTF">2011-01-19T19:46:00Z</dcterms:modified>
</cp:coreProperties>
</file>