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2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1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6FA3">
        <w:rPr>
          <w:color w:val="000000" w:themeColor="text1"/>
          <w:u w:color="000000" w:themeColor="text1"/>
        </w:rPr>
        <w:t>TO AMEND SECTION 12</w:t>
      </w:r>
      <w:r w:rsidRPr="004D6FA3">
        <w:rPr>
          <w:color w:val="000000" w:themeColor="text1"/>
          <w:u w:color="000000" w:themeColor="text1"/>
        </w:rPr>
        <w:noBreakHyphen/>
        <w:t>43</w:t>
      </w:r>
      <w:r w:rsidRPr="004D6FA3">
        <w:rPr>
          <w:color w:val="000000" w:themeColor="text1"/>
          <w:u w:color="000000" w:themeColor="text1"/>
        </w:rPr>
        <w:noBreakHyphen/>
        <w:t xml:space="preserve">220, AS AMENDED, CODE OF LAWS OF SOUTH CAROLINA, 1976, RELATING TO THE CLASSIFICATION OF PROPERTY AND THE APPLICABLE ASSESSMENT RATIOS FOR PURPOSES OF IMPOSITION OF PROPERTY TAX, SO AS TO REDUCE THE ASSESSMENT RATIO ON COMMERCIAL AND OTHER APPLICABLE REAL PROPERTY FROM SIX PERCENT OF </w:t>
      </w:r>
      <w:r w:rsidR="00B20CEF">
        <w:rPr>
          <w:color w:val="000000" w:themeColor="text1"/>
          <w:u w:color="000000" w:themeColor="text1"/>
        </w:rPr>
        <w:t>VALUE TO FIVE PERCENT OF VALUE.</w:t>
      </w:r>
    </w:p>
    <w:p w:rsidR="004C1156" w:rsidRDefault="004C1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Whereas, Section 1(5), Article X of the Constitution of this State establishes a property tax classification for all real property not otherwise included in a different class and provides for the assessment of that property at six percent of its fair market value; and</w:t>
      </w:r>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FA3">
        <w:rPr>
          <w:color w:val="000000" w:themeColor="text1"/>
          <w:u w:color="000000" w:themeColor="text1"/>
        </w:rPr>
        <w:t>Whereas, Section 2(d), Article X of the Constitution of this State allows the General Assembly, by at least a two</w:t>
      </w:r>
      <w:r w:rsidRPr="004D6FA3">
        <w:rPr>
          <w:color w:val="000000" w:themeColor="text1"/>
          <w:u w:color="000000" w:themeColor="text1"/>
        </w:rPr>
        <w:noBreakHyphen/>
        <w:t>thirds vote in each house, to change the assessment ratio applicable to each constitutionally provided class of property.  Now, therefore,</w:t>
      </w:r>
    </w:p>
    <w:p w:rsid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C1156" w:rsidRDefault="004C1156"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156" w:rsidRDefault="004C11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SECTION</w:t>
      </w:r>
      <w:r w:rsidRPr="004D6FA3">
        <w:rPr>
          <w:color w:val="000000" w:themeColor="text1"/>
          <w:u w:color="000000" w:themeColor="text1"/>
        </w:rPr>
        <w:tab/>
        <w:t>1.</w:t>
      </w:r>
      <w:r w:rsidRPr="004D6FA3">
        <w:rPr>
          <w:color w:val="000000" w:themeColor="text1"/>
          <w:u w:color="000000" w:themeColor="text1"/>
        </w:rPr>
        <w:tab/>
      </w:r>
      <w:r w:rsidR="00BD6D5E">
        <w:rPr>
          <w:color w:val="000000" w:themeColor="text1"/>
          <w:u w:color="000000" w:themeColor="text1"/>
        </w:rPr>
        <w:t>A.</w:t>
      </w:r>
      <w:r w:rsidR="00BD6D5E">
        <w:rPr>
          <w:color w:val="000000" w:themeColor="text1"/>
          <w:u w:color="000000" w:themeColor="text1"/>
        </w:rPr>
        <w:tab/>
      </w:r>
      <w:r w:rsidRPr="004D6FA3">
        <w:rPr>
          <w:color w:val="000000" w:themeColor="text1"/>
          <w:u w:color="000000" w:themeColor="text1"/>
        </w:rPr>
        <w:t>Section 12</w:t>
      </w:r>
      <w:r w:rsidRPr="004D6FA3">
        <w:rPr>
          <w:color w:val="000000" w:themeColor="text1"/>
          <w:u w:color="000000" w:themeColor="text1"/>
        </w:rPr>
        <w:noBreakHyphen/>
        <w:t>43</w:t>
      </w:r>
      <w:r w:rsidRPr="004D6FA3">
        <w:rPr>
          <w:color w:val="000000" w:themeColor="text1"/>
          <w:u w:color="000000" w:themeColor="text1"/>
        </w:rPr>
        <w:noBreakHyphen/>
        <w:t>220(e) of the 1976 Code is amended to read:</w:t>
      </w:r>
    </w:p>
    <w:p w:rsidR="000B1675" w:rsidRPr="004D6FA3"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1675"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FA3">
        <w:rPr>
          <w:color w:val="000000" w:themeColor="text1"/>
          <w:u w:color="000000" w:themeColor="text1"/>
        </w:rPr>
        <w:tab/>
        <w:t>“(e)</w:t>
      </w:r>
      <w:r w:rsidRPr="004D6FA3">
        <w:rPr>
          <w:color w:val="000000" w:themeColor="text1"/>
          <w:u w:val="single" w:color="000000" w:themeColor="text1"/>
        </w:rPr>
        <w:t>(1)</w:t>
      </w:r>
      <w:r w:rsidRPr="004D6FA3">
        <w:rPr>
          <w:color w:val="000000" w:themeColor="text1"/>
          <w:u w:color="000000" w:themeColor="text1"/>
        </w:rPr>
        <w:tab/>
        <w:t xml:space="preserve">All other real property not </w:t>
      </w:r>
      <w:r w:rsidRPr="004D6FA3">
        <w:rPr>
          <w:strike/>
          <w:color w:val="000000" w:themeColor="text1"/>
          <w:u w:color="000000" w:themeColor="text1"/>
        </w:rPr>
        <w:t>herein</w:t>
      </w:r>
      <w:r w:rsidRPr="004D6FA3">
        <w:rPr>
          <w:color w:val="000000" w:themeColor="text1"/>
          <w:u w:color="000000" w:themeColor="text1"/>
        </w:rPr>
        <w:t xml:space="preserve"> </w:t>
      </w:r>
      <w:r w:rsidRPr="004D6FA3">
        <w:rPr>
          <w:color w:val="000000" w:themeColor="text1"/>
          <w:u w:val="single" w:color="000000" w:themeColor="text1"/>
        </w:rPr>
        <w:t>otherwise</w:t>
      </w:r>
      <w:r w:rsidRPr="004D6FA3">
        <w:rPr>
          <w:color w:val="000000" w:themeColor="text1"/>
          <w:u w:color="000000" w:themeColor="text1"/>
        </w:rPr>
        <w:t xml:space="preserve"> provided for </w:t>
      </w:r>
      <w:r w:rsidRPr="004D6FA3">
        <w:rPr>
          <w:strike/>
          <w:color w:val="000000" w:themeColor="text1"/>
          <w:u w:color="000000" w:themeColor="text1"/>
        </w:rPr>
        <w:t>shall</w:t>
      </w:r>
      <w:r w:rsidRPr="004D6FA3">
        <w:rPr>
          <w:color w:val="000000" w:themeColor="text1"/>
          <w:u w:color="000000" w:themeColor="text1"/>
        </w:rPr>
        <w:t xml:space="preserve"> </w:t>
      </w:r>
      <w:r w:rsidRPr="004D6FA3">
        <w:rPr>
          <w:color w:val="000000" w:themeColor="text1"/>
          <w:u w:val="single" w:color="000000" w:themeColor="text1"/>
        </w:rPr>
        <w:t>in this section must</w:t>
      </w:r>
      <w:r w:rsidRPr="004D6FA3">
        <w:rPr>
          <w:color w:val="000000" w:themeColor="text1"/>
          <w:u w:color="000000" w:themeColor="text1"/>
        </w:rPr>
        <w:t xml:space="preserve"> be taxed on an assessment equal to </w:t>
      </w:r>
      <w:r w:rsidRPr="004D6FA3">
        <w:rPr>
          <w:strike/>
          <w:color w:val="000000" w:themeColor="text1"/>
          <w:u w:color="000000" w:themeColor="text1"/>
        </w:rPr>
        <w:t xml:space="preserve">six </w:t>
      </w:r>
      <w:r w:rsidRPr="004D6FA3">
        <w:rPr>
          <w:color w:val="000000" w:themeColor="text1"/>
          <w:u w:val="single" w:color="000000" w:themeColor="text1"/>
        </w:rPr>
        <w:t>five</w:t>
      </w:r>
      <w:r w:rsidRPr="004D6FA3">
        <w:rPr>
          <w:color w:val="000000" w:themeColor="text1"/>
          <w:u w:color="000000" w:themeColor="text1"/>
        </w:rPr>
        <w:t xml:space="preserve"> percent of the fair market value of </w:t>
      </w:r>
      <w:r w:rsidRPr="004D6FA3">
        <w:rPr>
          <w:strike/>
          <w:color w:val="000000" w:themeColor="text1"/>
          <w:u w:color="000000" w:themeColor="text1"/>
        </w:rPr>
        <w:t>such</w:t>
      </w:r>
      <w:r w:rsidRPr="004D6FA3">
        <w:rPr>
          <w:color w:val="000000" w:themeColor="text1"/>
          <w:u w:color="000000" w:themeColor="text1"/>
        </w:rPr>
        <w:t xml:space="preserve"> </w:t>
      </w:r>
      <w:r w:rsidRPr="004D6FA3">
        <w:rPr>
          <w:color w:val="000000" w:themeColor="text1"/>
          <w:u w:val="single" w:color="000000" w:themeColor="text1"/>
        </w:rPr>
        <w:t>the</w:t>
      </w:r>
      <w:r w:rsidRPr="004D6FA3">
        <w:rPr>
          <w:color w:val="000000" w:themeColor="text1"/>
          <w:u w:color="000000" w:themeColor="text1"/>
        </w:rPr>
        <w:t xml:space="preserve"> property </w:t>
      </w:r>
      <w:r w:rsidRPr="004D6FA3">
        <w:rPr>
          <w:color w:val="000000" w:themeColor="text1"/>
          <w:u w:val="single" w:color="000000" w:themeColor="text1"/>
        </w:rPr>
        <w:t xml:space="preserve">for property tax years ending </w:t>
      </w:r>
      <w:r w:rsidR="00046BEB">
        <w:rPr>
          <w:color w:val="000000" w:themeColor="text1"/>
          <w:u w:val="single" w:color="000000" w:themeColor="text1"/>
        </w:rPr>
        <w:t>after</w:t>
      </w:r>
      <w:r w:rsidRPr="004D6FA3">
        <w:rPr>
          <w:color w:val="000000" w:themeColor="text1"/>
          <w:u w:val="single" w:color="000000" w:themeColor="text1"/>
        </w:rPr>
        <w:t xml:space="preserve"> 2012</w:t>
      </w:r>
      <w:r w:rsidRPr="004D6FA3">
        <w:rPr>
          <w:color w:val="000000" w:themeColor="text1"/>
          <w:u w:color="000000" w:themeColor="text1"/>
        </w:rPr>
        <w:t>.”</w:t>
      </w:r>
    </w:p>
    <w:p w:rsidR="00BD6D5E" w:rsidRDefault="00BD6D5E"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D5E" w:rsidRPr="004D6FA3" w:rsidRDefault="00BD6D5E"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Pr="00C82E0B">
        <w:rPr>
          <w:color w:val="000000" w:themeColor="text1"/>
          <w:u w:color="000000" w:themeColor="text1"/>
        </w:rPr>
        <w:t>Notwithstanding the assessment ratio set forth in Section 12</w:t>
      </w:r>
      <w:r w:rsidRPr="00C82E0B">
        <w:rPr>
          <w:color w:val="000000" w:themeColor="text1"/>
          <w:u w:color="000000" w:themeColor="text1"/>
        </w:rPr>
        <w:noBreakHyphen/>
        <w:t>43</w:t>
      </w:r>
      <w:r w:rsidRPr="00C82E0B">
        <w:rPr>
          <w:color w:val="000000" w:themeColor="text1"/>
          <w:u w:color="000000" w:themeColor="text1"/>
        </w:rPr>
        <w:noBreakHyphen/>
        <w:t>220(e), as amended pursuant to subsection A. of this section, the reduced assessment ratio must be phased in in eight equal and cumulative percentage installment amounts of .125 percent applicable for property tax years beginning after 2012.</w:t>
      </w:r>
    </w:p>
    <w:p w:rsidR="000B1675" w:rsidRPr="0008051B"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color="000000" w:themeColor="text1"/>
        </w:rPr>
      </w:pPr>
    </w:p>
    <w:p w:rsidR="0010776B" w:rsidRDefault="000B1675" w:rsidP="000B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6FA3">
        <w:rPr>
          <w:color w:val="000000" w:themeColor="text1"/>
          <w:u w:color="000000" w:themeColor="text1"/>
        </w:rPr>
        <w:t>SECTION</w:t>
      </w:r>
      <w:r w:rsidRPr="004D6FA3">
        <w:rPr>
          <w:color w:val="000000" w:themeColor="text1"/>
          <w:u w:color="000000" w:themeColor="text1"/>
        </w:rPr>
        <w:tab/>
        <w:t>2.</w:t>
      </w:r>
      <w:r w:rsidRPr="004D6FA3">
        <w:rPr>
          <w:color w:val="000000" w:themeColor="text1"/>
          <w:u w:color="000000" w:themeColor="text1"/>
        </w:rPr>
        <w:tab/>
        <w:t>This act takes effect upon approval by the Governor.</w:t>
      </w:r>
    </w:p>
    <w:p w:rsidR="006725F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25F3" w:rsidRDefault="006725F3" w:rsidP="007109FA">
      <w:pPr>
        <w:suppressAutoHyphens/>
      </w:pPr>
    </w:p>
    <w:sectPr w:rsidR="006725F3" w:rsidSect="006725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156" w:rsidRDefault="004C1156" w:rsidP="009F0C77">
      <w:r>
        <w:separator/>
      </w:r>
    </w:p>
  </w:endnote>
  <w:endnote w:type="continuationSeparator" w:id="0">
    <w:p w:rsidR="004C1156" w:rsidRDefault="004C11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2C6756-D638-433F-B572-1D31AE05AF6C}"/>
    <w:embedBold r:id="rId2" w:fontKey="{0B34828F-22BF-4B2A-8BC2-07FFC084D281}"/>
  </w:font>
  <w:font w:name="Calibri">
    <w:panose1 w:val="020F0502020204030204"/>
    <w:charset w:val="00"/>
    <w:family w:val="swiss"/>
    <w:pitch w:val="variable"/>
    <w:sig w:usb0="A00002EF" w:usb1="4000207B" w:usb2="00000000" w:usb3="00000000" w:csb0="0000009F" w:csb1="00000000"/>
    <w:embedRegular r:id="rId3" w:fontKey="{027EF23B-86E9-44E9-A4EE-0698580866E4}"/>
  </w:font>
  <w:font w:name="Tahoma">
    <w:panose1 w:val="020B0604030504040204"/>
    <w:charset w:val="00"/>
    <w:family w:val="swiss"/>
    <w:pitch w:val="variable"/>
    <w:sig w:usb0="61002A87" w:usb1="80000000" w:usb2="00000008" w:usb3="00000000" w:csb0="000101FF" w:csb1="00000000"/>
    <w:embedRegular r:id="rId4" w:fontKey="{4188552C-FF1E-465A-8216-CF7F586B363F}"/>
  </w:font>
  <w:font w:name="Cambria">
    <w:panose1 w:val="02040503050406030204"/>
    <w:charset w:val="00"/>
    <w:family w:val="roman"/>
    <w:pitch w:val="variable"/>
    <w:sig w:usb0="A00002EF" w:usb1="4000004B" w:usb2="00000000" w:usb3="00000000" w:csb0="0000009F" w:csb1="00000000"/>
    <w:embedRegular r:id="rId5" w:fontKey="{29034559-C199-46CC-A2D4-A1A1D504A1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7D3" w:rsidRPr="006725F3" w:rsidRDefault="006725F3" w:rsidP="006725F3">
    <w:pPr>
      <w:pStyle w:val="Footer"/>
      <w:tabs>
        <w:tab w:val="clear" w:pos="4680"/>
        <w:tab w:val="clear" w:pos="9360"/>
        <w:tab w:val="center" w:pos="2995"/>
      </w:tabs>
      <w:spacing w:before="120"/>
    </w:pPr>
    <w:r>
      <w:t>[4998]</w:t>
    </w:r>
    <w:r>
      <w:tab/>
    </w:r>
    <w:fldSimple w:instr=" PAGE  \* MERGEFORMAT ">
      <w:r w:rsidR="007109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156" w:rsidRDefault="004C1156" w:rsidP="009F0C77">
      <w:r>
        <w:separator/>
      </w:r>
    </w:p>
  </w:footnote>
  <w:footnote w:type="continuationSeparator" w:id="0">
    <w:p w:rsidR="004C1156" w:rsidRDefault="004C11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90DG12"/>
    <w:docVar w:name="CoverBillType" w:val="b"/>
    <w:docVar w:name="docpath" w:val="L:\Council\bills\NBD\12190DG12.DOCX"/>
    <w:docVar w:name="dvBillNumber" w:val="4998"/>
    <w:docVar w:name="dvBillNumberPrefix" w:val="H. "/>
    <w:docVar w:name="dvOriginalBody" w:val="House"/>
    <w:docVar w:name="dvSteno" w:val="NBD"/>
    <w:docVar w:name="NameofBody" w:val="h"/>
    <w:docVar w:name="vgroup2" w:val="Council"/>
  </w:docVars>
  <w:rsids>
    <w:rsidRoot w:val="0077447D"/>
    <w:rsid w:val="00011869"/>
    <w:rsid w:val="00045DEA"/>
    <w:rsid w:val="00046BEB"/>
    <w:rsid w:val="0008051B"/>
    <w:rsid w:val="000B1675"/>
    <w:rsid w:val="000E1785"/>
    <w:rsid w:val="000F40FA"/>
    <w:rsid w:val="0010776B"/>
    <w:rsid w:val="00133E66"/>
    <w:rsid w:val="001435A3"/>
    <w:rsid w:val="001D08F2"/>
    <w:rsid w:val="001D525B"/>
    <w:rsid w:val="001D7F4F"/>
    <w:rsid w:val="002321B6"/>
    <w:rsid w:val="00250967"/>
    <w:rsid w:val="002543C8"/>
    <w:rsid w:val="00267F1A"/>
    <w:rsid w:val="00284AAE"/>
    <w:rsid w:val="002E5912"/>
    <w:rsid w:val="00325348"/>
    <w:rsid w:val="0032732C"/>
    <w:rsid w:val="00336AD0"/>
    <w:rsid w:val="0037079A"/>
    <w:rsid w:val="003D01E8"/>
    <w:rsid w:val="003E5288"/>
    <w:rsid w:val="003F6D79"/>
    <w:rsid w:val="0041760A"/>
    <w:rsid w:val="00417C01"/>
    <w:rsid w:val="00426931"/>
    <w:rsid w:val="004809EE"/>
    <w:rsid w:val="004C1156"/>
    <w:rsid w:val="004E7D54"/>
    <w:rsid w:val="005273C6"/>
    <w:rsid w:val="00530A69"/>
    <w:rsid w:val="00545593"/>
    <w:rsid w:val="00577C6C"/>
    <w:rsid w:val="005C2FE2"/>
    <w:rsid w:val="005E2BC9"/>
    <w:rsid w:val="00605102"/>
    <w:rsid w:val="006215AA"/>
    <w:rsid w:val="006725F3"/>
    <w:rsid w:val="006913C9"/>
    <w:rsid w:val="0069470D"/>
    <w:rsid w:val="007109FA"/>
    <w:rsid w:val="00734F00"/>
    <w:rsid w:val="0077447D"/>
    <w:rsid w:val="007A70AE"/>
    <w:rsid w:val="007E67D3"/>
    <w:rsid w:val="008362E8"/>
    <w:rsid w:val="008A1768"/>
    <w:rsid w:val="008C7A5F"/>
    <w:rsid w:val="008F4429"/>
    <w:rsid w:val="0094021A"/>
    <w:rsid w:val="009C6A0B"/>
    <w:rsid w:val="009F0C77"/>
    <w:rsid w:val="009F4DD1"/>
    <w:rsid w:val="00A41684"/>
    <w:rsid w:val="00A64E80"/>
    <w:rsid w:val="00A72BCD"/>
    <w:rsid w:val="00A741D9"/>
    <w:rsid w:val="00A833AB"/>
    <w:rsid w:val="00A9741D"/>
    <w:rsid w:val="00AD4B17"/>
    <w:rsid w:val="00B20CEF"/>
    <w:rsid w:val="00B412D4"/>
    <w:rsid w:val="00BD6D5E"/>
    <w:rsid w:val="00BE3C22"/>
    <w:rsid w:val="00C0345E"/>
    <w:rsid w:val="00C3483A"/>
    <w:rsid w:val="00C41BA5"/>
    <w:rsid w:val="00C74E9D"/>
    <w:rsid w:val="00C82FD3"/>
    <w:rsid w:val="00C92819"/>
    <w:rsid w:val="00CC6B7B"/>
    <w:rsid w:val="00CD2089"/>
    <w:rsid w:val="00CE7D9A"/>
    <w:rsid w:val="00D73A67"/>
    <w:rsid w:val="00D970A9"/>
    <w:rsid w:val="00DF3845"/>
    <w:rsid w:val="00E41911"/>
    <w:rsid w:val="00E92EEF"/>
    <w:rsid w:val="00F24442"/>
    <w:rsid w:val="00F50AE3"/>
    <w:rsid w:val="00F67CF1"/>
    <w:rsid w:val="00F840F0"/>
    <w:rsid w:val="00FB04CF"/>
    <w:rsid w:val="00FB0D0D"/>
    <w:rsid w:val="00FB43B4"/>
    <w:rsid w:val="00FD11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675"/>
    <w:rPr>
      <w:rFonts w:ascii="Tahoma" w:hAnsi="Tahoma" w:cs="Tahoma"/>
      <w:sz w:val="16"/>
      <w:szCs w:val="16"/>
    </w:rPr>
  </w:style>
  <w:style w:type="character" w:customStyle="1" w:styleId="BalloonTextChar">
    <w:name w:val="Balloon Text Char"/>
    <w:basedOn w:val="DefaultParagraphFont"/>
    <w:link w:val="BalloonText"/>
    <w:uiPriority w:val="99"/>
    <w:semiHidden/>
    <w:rsid w:val="000B16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85914-B876-48EA-B98E-9EC926765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245</Words>
  <Characters>1402</Characters>
  <Application>Microsoft Office Word</Application>
  <DocSecurity>0</DocSecurity>
  <Lines>11</Lines>
  <Paragraphs>3</Paragraphs>
  <ScaleCrop>false</ScaleCrop>
  <Company> </Company>
  <LinksUpToDate>false</LinksUpToDate>
  <CharactersWithSpaces>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2012-03-06T14:44:00Z</cp:lastPrinted>
  <dcterms:created xsi:type="dcterms:W3CDTF">2012-03-16T19:05:00Z</dcterms:created>
  <dcterms:modified xsi:type="dcterms:W3CDTF">2012-03-16T19:05:00Z</dcterms:modified>
</cp:coreProperties>
</file>