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2D0C" w:rsidRP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2011</w:t>
      </w: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0C" w:rsidRPr="00CD2D0C" w:rsidRDefault="00CD2D0C" w:rsidP="00CD2D0C">
      <w:pPr>
        <w:tabs>
          <w:tab w:val="right" w:pos="5933"/>
        </w:tabs>
        <w:suppressAutoHyphens/>
        <w:jc w:val="both"/>
        <w:rPr>
          <w:rFonts w:eastAsia="Times New Roman"/>
        </w:rPr>
      </w:pPr>
      <w:r>
        <w:rPr>
          <w:rFonts w:eastAsia="Times New Roman"/>
        </w:rPr>
        <w:tab/>
      </w:r>
      <w:r>
        <w:rPr>
          <w:rFonts w:eastAsia="Times New Roman"/>
          <w:b/>
          <w:sz w:val="36"/>
        </w:rPr>
        <w:t>S. 594</w:t>
      </w: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0C"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2A7E">
        <w:t>Senators Grooms and Verdin</w:t>
      </w: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5/26/11--H.</w:t>
      </w: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2011.</w:t>
      </w:r>
    </w:p>
    <w:p w:rsidR="00CD2D0C" w:rsidRPr="00CD2D0C"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0DC" w:rsidRDefault="008860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60DC" w:rsidSect="00C10C0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3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85D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5A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56-5-1535 OF THE 1976 CODE, RELATING TO DRIVING IN A TEMPORARY WORKZONE, TO EXPAND THE SIZE OF TEMPORARY WORKZONES.</w:t>
      </w:r>
    </w:p>
    <w:p w:rsidR="00CD2D0C" w:rsidRDefault="00CD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85D4E" w:rsidRDefault="00F85D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D4E" w:rsidRDefault="00F85D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5D4E" w:rsidRDefault="00F85D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0C" w:rsidRPr="005D2497"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D2497">
        <w:rPr>
          <w:rFonts w:eastAsia="Times New Roman"/>
        </w:rPr>
        <w:t>SECTION</w:t>
      </w:r>
      <w:r w:rsidRPr="005D2497">
        <w:rPr>
          <w:rFonts w:eastAsia="Times New Roman"/>
        </w:rPr>
        <w:tab/>
        <w:t>1.</w:t>
      </w:r>
      <w:r w:rsidRPr="005D2497">
        <w:rPr>
          <w:rFonts w:eastAsia="Times New Roman"/>
        </w:rPr>
        <w:tab/>
        <w:t>Section 56</w:t>
      </w:r>
      <w:r w:rsidRPr="005D2497">
        <w:rPr>
          <w:rFonts w:eastAsia="Times New Roman"/>
        </w:rPr>
        <w:noBreakHyphen/>
        <w:t>5</w:t>
      </w:r>
      <w:r w:rsidRPr="005D2497">
        <w:rPr>
          <w:rFonts w:eastAsia="Times New Roman"/>
        </w:rPr>
        <w:noBreakHyphen/>
        <w:t>1536(A) of the 1976 Code is amended to read:</w:t>
      </w:r>
    </w:p>
    <w:p w:rsidR="00CD2D0C"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5E5"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2497">
        <w:rPr>
          <w:rFonts w:eastAsia="Times New Roman"/>
        </w:rPr>
        <w:tab/>
        <w:t>“Section 56</w:t>
      </w:r>
      <w:r w:rsidRPr="005D2497">
        <w:rPr>
          <w:rFonts w:eastAsia="Times New Roman"/>
        </w:rPr>
        <w:noBreakHyphen/>
        <w:t>5</w:t>
      </w:r>
      <w:r w:rsidRPr="005D2497">
        <w:rPr>
          <w:rFonts w:eastAsia="Times New Roman"/>
        </w:rPr>
        <w:noBreakHyphen/>
        <w:t>1536.</w:t>
      </w:r>
      <w:r w:rsidRPr="005D2497">
        <w:rPr>
          <w:rFonts w:eastAsia="Times New Roman"/>
        </w:rPr>
        <w:tab/>
        <w:t>(A)</w:t>
      </w:r>
      <w:r w:rsidRPr="005D2497">
        <w:rPr>
          <w:rFonts w:eastAsia="Times New Roman"/>
        </w:rPr>
        <w:tab/>
      </w:r>
      <w:r w:rsidRPr="005D2497">
        <w:t xml:space="preserve">A temporary work zone area is an area on </w:t>
      </w:r>
      <w:r w:rsidRPr="005D2497">
        <w:rPr>
          <w:u w:val="single"/>
        </w:rPr>
        <w:t>or within approximately fifteen feet of</w:t>
      </w:r>
      <w:r w:rsidRPr="005D2497">
        <w:t xml:space="preserve"> a roadway identified by orange work zone signs or equipment with flashing lights, and the presence of workers on the scene.” </w:t>
      </w:r>
    </w:p>
    <w:p w:rsidR="00AC75E5" w:rsidRDefault="00AC75E5" w:rsidP="00AC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3E71">
        <w:rPr>
          <w:u w:color="000000" w:themeColor="text1"/>
        </w:rPr>
        <w:t>SECTION</w:t>
      </w:r>
      <w:r w:rsidRPr="00613E71">
        <w:rPr>
          <w:u w:color="000000" w:themeColor="text1"/>
        </w:rPr>
        <w:tab/>
      </w:r>
      <w:r>
        <w:rPr>
          <w:u w:color="000000" w:themeColor="text1"/>
        </w:rPr>
        <w:t>2</w:t>
      </w:r>
      <w:r w:rsidRPr="00613E71">
        <w:rPr>
          <w:u w:color="000000" w:themeColor="text1"/>
        </w:rPr>
        <w:t>.</w:t>
      </w:r>
      <w:r w:rsidRPr="00613E71">
        <w:rPr>
          <w:u w:color="000000" w:themeColor="text1"/>
        </w:rPr>
        <w:tab/>
        <w:t>Section 5</w:t>
      </w:r>
      <w:r w:rsidRPr="00613E71">
        <w:rPr>
          <w:u w:color="000000" w:themeColor="text1"/>
        </w:rPr>
        <w:noBreakHyphen/>
        <w:t>37</w:t>
      </w:r>
      <w:r w:rsidRPr="00613E71">
        <w:rPr>
          <w:u w:color="000000" w:themeColor="text1"/>
        </w:rPr>
        <w:noBreakHyphen/>
        <w:t>40 of the 1976 Code, as last amended by Act 290 of 2010, is further amended to read:</w:t>
      </w:r>
    </w:p>
    <w:p w:rsidR="00CD2D0C"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3E71">
        <w:rPr>
          <w:u w:color="000000" w:themeColor="text1"/>
        </w:rPr>
        <w:tab/>
        <w:t>“Section 5</w:t>
      </w:r>
      <w:r w:rsidRPr="00613E71">
        <w:rPr>
          <w:u w:color="000000" w:themeColor="text1"/>
        </w:rPr>
        <w:noBreakHyphen/>
        <w:t>37</w:t>
      </w:r>
      <w:r w:rsidRPr="00613E71">
        <w:rPr>
          <w:u w:color="000000" w:themeColor="text1"/>
        </w:rPr>
        <w:noBreakHyphen/>
        <w:t>40.</w:t>
      </w:r>
      <w:r w:rsidRPr="00613E71">
        <w:rPr>
          <w:u w:color="000000" w:themeColor="text1"/>
        </w:rPr>
        <w:tab/>
      </w:r>
      <w:r>
        <w:rPr>
          <w:u w:color="000000" w:themeColor="text1"/>
        </w:rPr>
        <w:t xml:space="preserve"> </w:t>
      </w:r>
      <w:r w:rsidRPr="00613E71">
        <w:t>(A)</w:t>
      </w:r>
      <w:r w:rsidRPr="00613E71">
        <w:tab/>
        <w:t xml:space="preserve">If the governing body finds that: </w:t>
      </w: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3E71">
        <w:tab/>
      </w:r>
      <w:r w:rsidRPr="00613E71">
        <w:tab/>
        <w:t>(1)</w:t>
      </w:r>
      <w:r w:rsidRPr="00613E71">
        <w:tab/>
        <w:t xml:space="preserve">improvements would be beneficial within a designated improvement district; </w:t>
      </w: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3E71">
        <w:tab/>
      </w:r>
      <w:r w:rsidRPr="00613E71">
        <w:tab/>
        <w:t>(2)</w:t>
      </w:r>
      <w:r w:rsidRPr="00613E71">
        <w:tab/>
        <w:t xml:space="preserve">the improvements would preserve or increase property values within the district; </w:t>
      </w: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3E71">
        <w:tab/>
      </w:r>
      <w:r w:rsidRPr="00613E71">
        <w:tab/>
        <w:t>(3)</w:t>
      </w:r>
      <w:r w:rsidRPr="00613E71">
        <w:tab/>
        <w:t xml:space="preserve">in the absence of the improvements, property values within the area would be likely to depreciate, or that the proposed improvements would be likely to encourage development in the improvement district; </w:t>
      </w: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3E71">
        <w:tab/>
      </w:r>
      <w:r w:rsidRPr="00613E71">
        <w:tab/>
        <w:t>(4)</w:t>
      </w:r>
      <w:r w:rsidRPr="00613E71">
        <w:tab/>
        <w:t xml:space="preserve">the general welfare and tax base of the city would be maintained or likely improved by creation of an improvement district in the city;  and </w:t>
      </w: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3E71">
        <w:lastRenderedPageBreak/>
        <w:tab/>
      </w:r>
      <w:r w:rsidRPr="00613E71">
        <w:tab/>
        <w:t>(5)</w:t>
      </w:r>
      <w:r w:rsidRPr="00613E71">
        <w:tab/>
        <w:t xml:space="preserve">it would be fair and equitable to finance all or part of the cost of the improvements by an assessment upon the real property within the district, the governing body may establish the area as an improvement district and implement and finance, in whole or in part, an improvement plan in the district in accordance with the provisions of this chapter.  However, except in the case of an improvement district in which the sole improvements are the widening and dredging of canals </w:t>
      </w:r>
      <w:r w:rsidRPr="00613E71">
        <w:rPr>
          <w:u w:val="single"/>
        </w:rPr>
        <w:t>or waterways</w:t>
      </w:r>
      <w:r w:rsidRPr="00613E71">
        <w:t>, owner</w:t>
      </w:r>
      <w:r w:rsidRPr="00613E71">
        <w:noBreakHyphen/>
        <w:t xml:space="preserve">occupied residential property </w:t>
      </w:r>
      <w:r w:rsidRPr="00613E71">
        <w:rPr>
          <w:strike/>
        </w:rPr>
        <w:t>which</w:t>
      </w:r>
      <w:r w:rsidRPr="00613E71">
        <w:t xml:space="preserve"> </w:t>
      </w:r>
      <w:r w:rsidRPr="00613E71">
        <w:rPr>
          <w:u w:val="single"/>
        </w:rPr>
        <w:t>that</w:t>
      </w:r>
      <w:r w:rsidRPr="00613E71">
        <w:t xml:space="preserve"> is taxed</w:t>
      </w:r>
      <w:r w:rsidRPr="00613E71">
        <w:rPr>
          <w:u w:val="single"/>
        </w:rPr>
        <w:t>,</w:t>
      </w:r>
      <w:r w:rsidRPr="00613E71">
        <w:t xml:space="preserve"> or will be taxed pursuant to Section 12</w:t>
      </w:r>
      <w:r w:rsidRPr="00613E71">
        <w:noBreakHyphen/>
        <w:t>43</w:t>
      </w:r>
      <w:r w:rsidRPr="00613E71">
        <w:noBreakHyphen/>
        <w:t>220(c)</w:t>
      </w:r>
      <w:r w:rsidRPr="00613E71">
        <w:rPr>
          <w:u w:val="single"/>
        </w:rPr>
        <w:t>,</w:t>
      </w:r>
      <w:r w:rsidRPr="00613E71">
        <w:t xml:space="preserve"> must not be included within an improvement district unless the owner</w:t>
      </w:r>
      <w:r w:rsidRPr="00613E71">
        <w:rPr>
          <w:u w:val="single"/>
        </w:rPr>
        <w:t>,</w:t>
      </w:r>
      <w:r w:rsidRPr="00613E71">
        <w:t xml:space="preserve"> at the time the improvement district is created</w:t>
      </w:r>
      <w:r w:rsidRPr="00613E71">
        <w:rPr>
          <w:u w:val="single"/>
        </w:rPr>
        <w:t>,</w:t>
      </w:r>
      <w:r w:rsidRPr="00613E71">
        <w:t xml:space="preserve"> gives the governing body written permission to include the property within the improvement district. </w:t>
      </w: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3E71">
        <w:tab/>
        <w:t>(B)</w:t>
      </w:r>
      <w:r w:rsidRPr="00613E71">
        <w:tab/>
        <w:t xml:space="preserve">If an improvement district is located in a redevelopment project area created pursuant to Chapter 6, Title 31, 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t>
      </w:r>
      <w:r w:rsidRPr="00613E71">
        <w:rPr>
          <w:strike/>
        </w:rPr>
        <w:t>which</w:t>
      </w:r>
      <w:r w:rsidRPr="00613E71">
        <w:t xml:space="preserve"> </w:t>
      </w:r>
      <w:r w:rsidRPr="00613E71">
        <w:rPr>
          <w:u w:val="single"/>
        </w:rPr>
        <w:t>that</w:t>
      </w:r>
      <w:r w:rsidRPr="00613E71">
        <w:t xml:space="preserve"> is not exempt from ad valorem taxation as provided by law.  However, except in the case of an improvement district in which the sole improvements are the widening and dredging of canals </w:t>
      </w:r>
      <w:r w:rsidRPr="00613E71">
        <w:rPr>
          <w:u w:val="single"/>
        </w:rPr>
        <w:t>or waterways</w:t>
      </w:r>
      <w:r w:rsidRPr="00613E71">
        <w:t>, owner</w:t>
      </w:r>
      <w:r w:rsidRPr="00613E71">
        <w:noBreakHyphen/>
        <w:t xml:space="preserve">occupied residential property </w:t>
      </w:r>
      <w:r w:rsidRPr="00613E71">
        <w:rPr>
          <w:strike/>
        </w:rPr>
        <w:t>which</w:t>
      </w:r>
      <w:r w:rsidRPr="00613E71">
        <w:t xml:space="preserve"> </w:t>
      </w:r>
      <w:r w:rsidRPr="00613E71">
        <w:rPr>
          <w:u w:val="single"/>
        </w:rPr>
        <w:t>that</w:t>
      </w:r>
      <w:r w:rsidRPr="00613E71">
        <w:t xml:space="preserve"> is taxed</w:t>
      </w:r>
      <w:r w:rsidRPr="00613E71">
        <w:rPr>
          <w:u w:val="single"/>
        </w:rPr>
        <w:t>,</w:t>
      </w:r>
      <w:r w:rsidRPr="00613E71">
        <w:t xml:space="preserve"> or will be taxed pursuant to Section 12</w:t>
      </w:r>
      <w:r w:rsidRPr="00613E71">
        <w:noBreakHyphen/>
        <w:t>43</w:t>
      </w:r>
      <w:r w:rsidRPr="00613E71">
        <w:noBreakHyphen/>
        <w:t>220(c)</w:t>
      </w:r>
      <w:r w:rsidRPr="00613E71">
        <w:rPr>
          <w:u w:val="single"/>
        </w:rPr>
        <w:t>,</w:t>
      </w:r>
      <w:r w:rsidRPr="00613E71">
        <w:t xml:space="preserve"> must not be included within an improvement district unless the owner</w:t>
      </w:r>
      <w:r w:rsidRPr="00613E71">
        <w:rPr>
          <w:u w:val="single"/>
        </w:rPr>
        <w:t>,</w:t>
      </w:r>
      <w:r w:rsidRPr="00613E71">
        <w:t xml:space="preserve"> at the time the improvement district is created</w:t>
      </w:r>
      <w:r w:rsidRPr="00613E71">
        <w:rPr>
          <w:u w:val="single"/>
        </w:rPr>
        <w:t>,</w:t>
      </w:r>
      <w:r w:rsidRPr="00613E71">
        <w:t xml:space="preserve"> gives the governing body written permission to include the property within the improvement district.”</w:t>
      </w:r>
    </w:p>
    <w:p w:rsidR="00CD2D0C"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3E71">
        <w:rPr>
          <w:u w:color="000000" w:themeColor="text1"/>
        </w:rPr>
        <w:t>SECTION</w:t>
      </w:r>
      <w:r w:rsidRPr="00613E71">
        <w:rPr>
          <w:u w:color="000000" w:themeColor="text1"/>
        </w:rPr>
        <w:tab/>
      </w:r>
      <w:r>
        <w:rPr>
          <w:u w:color="000000" w:themeColor="text1"/>
        </w:rPr>
        <w:t>3</w:t>
      </w:r>
      <w:r w:rsidRPr="00613E71">
        <w:rPr>
          <w:u w:color="000000" w:themeColor="text1"/>
        </w:rPr>
        <w:t>.</w:t>
      </w:r>
      <w:r w:rsidRPr="00613E71">
        <w:rPr>
          <w:u w:color="000000" w:themeColor="text1"/>
        </w:rPr>
        <w:tab/>
        <w:t>Section 5</w:t>
      </w:r>
      <w:r w:rsidRPr="00613E71">
        <w:rPr>
          <w:u w:color="000000" w:themeColor="text1"/>
        </w:rPr>
        <w:noBreakHyphen/>
        <w:t>37</w:t>
      </w:r>
      <w:r w:rsidRPr="00613E71">
        <w:rPr>
          <w:u w:color="000000" w:themeColor="text1"/>
        </w:rPr>
        <w:noBreakHyphen/>
        <w:t>50 of the 1976 Code, as last amended by Act 290 of 2010, is further amended to read:</w:t>
      </w:r>
    </w:p>
    <w:p w:rsidR="00CD2D0C"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3E71">
        <w:tab/>
        <w:t>“Section 5</w:t>
      </w:r>
      <w:r w:rsidRPr="00613E71">
        <w:noBreakHyphen/>
        <w:t>37</w:t>
      </w:r>
      <w:r w:rsidRPr="00613E71">
        <w:noBreakHyphen/>
        <w:t>50.</w:t>
      </w:r>
      <w:r w:rsidRPr="00613E71">
        <w:tab/>
      </w:r>
      <w:r>
        <w:t xml:space="preserve"> </w:t>
      </w:r>
      <w:r w:rsidRPr="00613E71">
        <w:t xml:space="preserve">The governing body, by resolution adopted, shall describe the improvement district and the improvement plan to be effected, including a property within the improvement district to be acquired and improved, the projected time schedule for the accomplishment of the improvement plan, the estimated cost and the amount of the cost to be derived from assessments, bonds, or other general funds, together with the proposed basis and rates of assessments to be imposed within the improvement district.  However, except in the case of an improvement district in which the sole improvements are the widening and dredging of canals </w:t>
      </w:r>
      <w:r w:rsidRPr="00613E71">
        <w:rPr>
          <w:u w:val="single"/>
        </w:rPr>
        <w:t>or waterways</w:t>
      </w:r>
      <w:r w:rsidRPr="00613E71">
        <w:t>, owner</w:t>
      </w:r>
      <w:r w:rsidRPr="00613E71">
        <w:noBreakHyphen/>
        <w:t xml:space="preserve">occupied residential property </w:t>
      </w:r>
      <w:r w:rsidRPr="00613E71">
        <w:rPr>
          <w:strike/>
        </w:rPr>
        <w:t>which</w:t>
      </w:r>
      <w:r w:rsidRPr="00613E71">
        <w:t xml:space="preserve"> </w:t>
      </w:r>
      <w:r w:rsidRPr="00613E71">
        <w:rPr>
          <w:u w:val="single"/>
        </w:rPr>
        <w:t>that</w:t>
      </w:r>
      <w:r w:rsidRPr="00613E71">
        <w:t xml:space="preserve"> is taxed</w:t>
      </w:r>
      <w:r w:rsidRPr="00613E71">
        <w:rPr>
          <w:u w:val="single"/>
        </w:rPr>
        <w:t>,</w:t>
      </w:r>
      <w:r w:rsidRPr="00613E71">
        <w:t xml:space="preserve"> or will be taxed pursuant to Section 12</w:t>
      </w:r>
      <w:r w:rsidRPr="00613E71">
        <w:noBreakHyphen/>
        <w:t>43</w:t>
      </w:r>
      <w:r w:rsidRPr="00613E71">
        <w:noBreakHyphen/>
        <w:t>220(c)</w:t>
      </w:r>
      <w:r w:rsidRPr="00613E71">
        <w:rPr>
          <w:u w:val="single"/>
        </w:rPr>
        <w:t>,</w:t>
      </w:r>
      <w:r w:rsidRPr="00613E71">
        <w:t xml:space="preserve"> must not be included within an improvement district unless the owner</w:t>
      </w:r>
      <w:r w:rsidRPr="00613E71">
        <w:rPr>
          <w:u w:val="single"/>
        </w:rPr>
        <w:t>,</w:t>
      </w:r>
      <w:r w:rsidRPr="00613E71">
        <w:t xml:space="preserve"> at the time the improvement district is created</w:t>
      </w:r>
      <w:r w:rsidRPr="00613E71">
        <w:rPr>
          <w:u w:val="single"/>
        </w:rPr>
        <w:t>,</w:t>
      </w:r>
      <w:r w:rsidRPr="00613E71">
        <w:t xml:space="preserve"> gives the governing body written permission to include the property within the improvement district.  The resolution also shall establish the time and place of a public hearing to be held within the municipality not sooner than twenty days nor more than forty days following the adoption of the resolution</w:t>
      </w:r>
      <w:r w:rsidRPr="00613E71">
        <w:rPr>
          <w:u w:val="single"/>
        </w:rPr>
        <w:t>,</w:t>
      </w:r>
      <w:r w:rsidRPr="00613E71">
        <w:t xml:space="preserve"> at which an interested person may attend and be heard</w:t>
      </w:r>
      <w:r w:rsidRPr="00613E71">
        <w:rPr>
          <w:u w:val="single"/>
        </w:rPr>
        <w:t>,</w:t>
      </w:r>
      <w:r w:rsidRPr="00613E71">
        <w:t xml:space="preserve"> either in person or by attorney</w:t>
      </w:r>
      <w:r w:rsidRPr="00613E71">
        <w:rPr>
          <w:u w:val="single"/>
        </w:rPr>
        <w:t>,</w:t>
      </w:r>
      <w:r w:rsidRPr="00613E71">
        <w:t xml:space="preserve"> on a matter in connection with the improvement district.”</w:t>
      </w:r>
    </w:p>
    <w:p w:rsidR="00CD2D0C"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D2D0C" w:rsidRPr="00613E71"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3E71">
        <w:rPr>
          <w:u w:color="000000" w:themeColor="text1"/>
        </w:rPr>
        <w:t>SECTION</w:t>
      </w:r>
      <w:r w:rsidRPr="00613E71">
        <w:rPr>
          <w:u w:color="000000" w:themeColor="text1"/>
        </w:rPr>
        <w:tab/>
      </w:r>
      <w:r>
        <w:rPr>
          <w:u w:color="000000" w:themeColor="text1"/>
        </w:rPr>
        <w:t>4</w:t>
      </w:r>
      <w:r w:rsidRPr="00613E71">
        <w:rPr>
          <w:u w:color="000000" w:themeColor="text1"/>
        </w:rPr>
        <w:t>.</w:t>
      </w:r>
      <w:r w:rsidRPr="00613E71">
        <w:rPr>
          <w:u w:color="000000" w:themeColor="text1"/>
        </w:rPr>
        <w:tab/>
        <w:t>Section 5</w:t>
      </w:r>
      <w:r w:rsidRPr="00613E71">
        <w:rPr>
          <w:u w:color="000000" w:themeColor="text1"/>
        </w:rPr>
        <w:noBreakHyphen/>
        <w:t>37</w:t>
      </w:r>
      <w:r w:rsidRPr="00613E71">
        <w:rPr>
          <w:u w:color="000000" w:themeColor="text1"/>
        </w:rPr>
        <w:noBreakHyphen/>
        <w:t>100 of the 1976 Code, as last amended by Act 290 of 2010, is further amended to read:</w:t>
      </w:r>
    </w:p>
    <w:p w:rsidR="00CD2D0C"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CD2D0C" w:rsidRDefault="00CD2D0C" w:rsidP="00CD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13E71">
        <w:rPr>
          <w:u w:color="000000" w:themeColor="text1"/>
        </w:rPr>
        <w:tab/>
        <w:t>“Section 5</w:t>
      </w:r>
      <w:r w:rsidRPr="00613E71">
        <w:rPr>
          <w:u w:color="000000" w:themeColor="text1"/>
        </w:rPr>
        <w:noBreakHyphen/>
        <w:t>37</w:t>
      </w:r>
      <w:r w:rsidRPr="00613E71">
        <w:rPr>
          <w:u w:color="000000" w:themeColor="text1"/>
        </w:rPr>
        <w:noBreakHyphen/>
        <w:t>100.</w:t>
      </w:r>
      <w:r w:rsidRPr="00613E71">
        <w:rPr>
          <w:u w:color="000000" w:themeColor="text1"/>
        </w:rPr>
        <w:tab/>
      </w:r>
      <w:r w:rsidRPr="00613E71">
        <w:rPr>
          <w:strike/>
        </w:rPr>
        <w:t>Not</w:t>
      </w:r>
      <w:r w:rsidRPr="00613E71">
        <w:t xml:space="preserve"> </w:t>
      </w:r>
      <w:r w:rsidRPr="00613E71">
        <w:rPr>
          <w:u w:val="single"/>
        </w:rPr>
        <w:t>No</w:t>
      </w:r>
      <w:r w:rsidRPr="00613E71">
        <w:t xml:space="preserve"> sooner than ten days nor more than one hundred twenty days following the conclusion of the public hearing provided in Section 5</w:t>
      </w:r>
      <w:r w:rsidRPr="00613E71">
        <w:noBreakHyphen/>
        <w:t>37</w:t>
      </w:r>
      <w:r w:rsidRPr="00613E71">
        <w:noBreakHyphen/>
        <w:t xml:space="preserve">50, the governing body, by ordinance, may provide for the creation of the improvement district as originally proposed or with the changes and modifications in it as the governing body may determine, and provide for the financing by assessment, bonds, or other revenues as provided in this chapter.  However, except in the case of an improvement district in which the sole improvements are the widening and dredging of canals </w:t>
      </w:r>
      <w:r w:rsidRPr="00613E71">
        <w:rPr>
          <w:u w:val="single"/>
        </w:rPr>
        <w:t>or waterways</w:t>
      </w:r>
      <w:r w:rsidRPr="00613E71">
        <w:t>, owner</w:t>
      </w:r>
      <w:r w:rsidRPr="00613E71">
        <w:noBreakHyphen/>
        <w:t xml:space="preserve">occupied residential property </w:t>
      </w:r>
      <w:r w:rsidRPr="00613E71">
        <w:rPr>
          <w:strike/>
        </w:rPr>
        <w:t>which</w:t>
      </w:r>
      <w:r w:rsidRPr="00613E71">
        <w:t xml:space="preserve"> </w:t>
      </w:r>
      <w:r w:rsidRPr="00613E71">
        <w:rPr>
          <w:u w:val="single"/>
        </w:rPr>
        <w:t>that</w:t>
      </w:r>
      <w:r w:rsidRPr="00613E71">
        <w:t xml:space="preserve"> is taxed pursuant to Section 12</w:t>
      </w:r>
      <w:r w:rsidRPr="00613E71">
        <w:noBreakHyphen/>
        <w:t>43</w:t>
      </w:r>
      <w:r w:rsidRPr="00613E71">
        <w:noBreakHyphen/>
        <w:t>220(c)</w:t>
      </w:r>
      <w:r w:rsidRPr="00613E71">
        <w:rPr>
          <w:u w:val="single"/>
        </w:rPr>
        <w:t>,</w:t>
      </w:r>
      <w:r w:rsidRPr="00613E71">
        <w:t xml:space="preserve"> must not be included within an improvement district unless the owner gives the governing body written permission to include the property within the improvement district.  The ordinance may not become effective until at least seven days after it has been published in a newspaper of general circulation in the municipality.  The ordinance may incorporate by reference plats and engineering reports and other data on file in the offices of the municipality.  The place of filing and reasonable hours for inspection must be made available to all interested persons.”</w:t>
      </w:r>
    </w:p>
    <w:p w:rsidR="00CD2D0C" w:rsidRDefault="00CD2D0C" w:rsidP="00AC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5E5" w:rsidRDefault="00AC75E5" w:rsidP="00AC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r>
      <w:r w:rsidR="00CD2D0C">
        <w:rPr>
          <w:rFonts w:eastAsia="Times New Roman"/>
        </w:rPr>
        <w:t>5</w:t>
      </w:r>
      <w:r>
        <w:rPr>
          <w:rFonts w:eastAsia="Times New Roman"/>
        </w:rPr>
        <w:t>.</w:t>
      </w:r>
      <w:r>
        <w:rPr>
          <w:rFonts w:eastAsia="Times New Roman"/>
        </w:rPr>
        <w:tab/>
        <w:t>This act takes effect upon approval by the Governor.</w:t>
      </w:r>
    </w:p>
    <w:p w:rsidR="00E732AD" w:rsidRDefault="00522CE0" w:rsidP="00AC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32AD" w:rsidRDefault="00E732AD" w:rsidP="00402557">
      <w:pPr>
        <w:suppressAutoHyphens/>
        <w:jc w:val="both"/>
        <w:rPr>
          <w:rFonts w:eastAsia="Times New Roman"/>
        </w:rPr>
      </w:pPr>
    </w:p>
    <w:sectPr w:rsidR="00E732AD" w:rsidSect="00C10C0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D4E" w:rsidRDefault="00F85D4E" w:rsidP="00522CE0">
      <w:r>
        <w:separator/>
      </w:r>
    </w:p>
  </w:endnote>
  <w:endnote w:type="continuationSeparator" w:id="0">
    <w:p w:rsidR="00F85D4E" w:rsidRDefault="00F85D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6423CE-17D1-4269-99AC-6ED2129CE85C}"/>
    <w:embedBold r:id="rId2" w:fontKey="{DAFCB7CA-6A5D-47AF-86F4-CE980C417AA5}"/>
  </w:font>
  <w:font w:name="Calibri">
    <w:panose1 w:val="020F0502020204030204"/>
    <w:charset w:val="00"/>
    <w:family w:val="swiss"/>
    <w:pitch w:val="variable"/>
    <w:sig w:usb0="A00002EF" w:usb1="4000207B" w:usb2="00000000" w:usb3="00000000" w:csb0="0000009F" w:csb1="00000000"/>
    <w:embedRegular r:id="rId3" w:fontKey="{016D8664-D857-4B39-BBEF-EC307459B74E}"/>
  </w:font>
  <w:font w:name="Cambria">
    <w:panose1 w:val="02040503050406030204"/>
    <w:charset w:val="00"/>
    <w:family w:val="roman"/>
    <w:pitch w:val="variable"/>
    <w:sig w:usb0="A00002EF" w:usb1="4000004B" w:usb2="00000000" w:usb3="00000000" w:csb0="0000009F" w:csb1="00000000"/>
    <w:embedRegular r:id="rId4" w:fontKey="{D21DE6A8-2009-4B4C-B02B-49AB922403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946" w:rsidRPr="00E732AD" w:rsidRDefault="00E732AD" w:rsidP="00E732AD">
    <w:pPr>
      <w:pStyle w:val="Footer"/>
      <w:tabs>
        <w:tab w:val="clear" w:pos="4680"/>
        <w:tab w:val="clear" w:pos="9360"/>
        <w:tab w:val="center" w:pos="2995"/>
      </w:tabs>
      <w:spacing w:before="120"/>
    </w:pPr>
    <w:r>
      <w:t>[594</w:t>
    </w:r>
    <w:r w:rsidR="00C10C09">
      <w:t>-</w:t>
    </w:r>
    <w:fldSimple w:instr=" PAGE  \* MERGEFORMAT ">
      <w:r w:rsidR="00402557">
        <w:rPr>
          <w:noProof/>
        </w:rPr>
        <w:t>1</w:t>
      </w:r>
    </w:fldSimple>
    <w:r w:rsidR="00C10C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C09" w:rsidRPr="00E732AD" w:rsidRDefault="00C10C09" w:rsidP="00E732AD">
    <w:pPr>
      <w:pStyle w:val="Footer"/>
      <w:tabs>
        <w:tab w:val="clear" w:pos="4680"/>
        <w:tab w:val="clear" w:pos="9360"/>
        <w:tab w:val="center" w:pos="2995"/>
      </w:tabs>
      <w:spacing w:before="120"/>
    </w:pPr>
    <w:r>
      <w:t>[594]</w:t>
    </w:r>
    <w:r>
      <w:tab/>
    </w:r>
    <w:fldSimple w:instr=" PAGE  \* MERGEFORMAT ">
      <w:r w:rsidR="004025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D4E" w:rsidRDefault="00F85D4E" w:rsidP="00522CE0">
      <w:r>
        <w:separator/>
      </w:r>
    </w:p>
  </w:footnote>
  <w:footnote w:type="continuationSeparator" w:id="0">
    <w:p w:rsidR="00F85D4E" w:rsidRDefault="00F85D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6TWLE.KMM.LKG"/>
    <w:docVar w:name="CoverAttorneyInitials" w:val="KMM"/>
    <w:docVar w:name="CoverAttorneyLastName" w:val="Moffitt"/>
    <w:docVar w:name="CoverBillType" w:val="b"/>
    <w:docVar w:name="CoverSenator" w:val="LKG"/>
    <w:docVar w:name="dvBillNumber" w:val="594"/>
    <w:docVar w:name="dvBillNumberPrefix" w:val="S. "/>
    <w:docVar w:name="dvOriginalBody" w:val="Senate"/>
    <w:docVar w:name="fulldraftpath" w:val="L:\S-RES\LKG\016TWLE.KMM.LKG.DOCX"/>
    <w:docVar w:name="NameofBody" w:val="S"/>
    <w:docVar w:name="vgroup2" w:val="S-RES"/>
  </w:docVars>
  <w:rsids>
    <w:rsidRoot w:val="00F6408B"/>
    <w:rsid w:val="00025049"/>
    <w:rsid w:val="00042AC1"/>
    <w:rsid w:val="00046516"/>
    <w:rsid w:val="0007601D"/>
    <w:rsid w:val="000B0720"/>
    <w:rsid w:val="000B5EAF"/>
    <w:rsid w:val="0011313D"/>
    <w:rsid w:val="00170561"/>
    <w:rsid w:val="001721A3"/>
    <w:rsid w:val="00186AC9"/>
    <w:rsid w:val="001961DE"/>
    <w:rsid w:val="00197DF1"/>
    <w:rsid w:val="001B3DD9"/>
    <w:rsid w:val="001B7E5D"/>
    <w:rsid w:val="001C117D"/>
    <w:rsid w:val="001D3BAC"/>
    <w:rsid w:val="001F4794"/>
    <w:rsid w:val="00245C4E"/>
    <w:rsid w:val="0029069E"/>
    <w:rsid w:val="002A2EDF"/>
    <w:rsid w:val="002C1321"/>
    <w:rsid w:val="002C5896"/>
    <w:rsid w:val="002D3BED"/>
    <w:rsid w:val="002E24CB"/>
    <w:rsid w:val="00307C2B"/>
    <w:rsid w:val="00383247"/>
    <w:rsid w:val="003D6E2B"/>
    <w:rsid w:val="003E7597"/>
    <w:rsid w:val="00402557"/>
    <w:rsid w:val="00450668"/>
    <w:rsid w:val="004952FA"/>
    <w:rsid w:val="004B6A22"/>
    <w:rsid w:val="004D7F37"/>
    <w:rsid w:val="00515A18"/>
    <w:rsid w:val="00522CE0"/>
    <w:rsid w:val="005317ED"/>
    <w:rsid w:val="00565148"/>
    <w:rsid w:val="00585946"/>
    <w:rsid w:val="00593361"/>
    <w:rsid w:val="005A5017"/>
    <w:rsid w:val="005A648C"/>
    <w:rsid w:val="005F1745"/>
    <w:rsid w:val="006C74EA"/>
    <w:rsid w:val="00720D40"/>
    <w:rsid w:val="007318D4"/>
    <w:rsid w:val="00765784"/>
    <w:rsid w:val="00770558"/>
    <w:rsid w:val="007A4390"/>
    <w:rsid w:val="007E5CB7"/>
    <w:rsid w:val="007F5418"/>
    <w:rsid w:val="008314D2"/>
    <w:rsid w:val="008860DC"/>
    <w:rsid w:val="008B2F42"/>
    <w:rsid w:val="008E185F"/>
    <w:rsid w:val="008F023B"/>
    <w:rsid w:val="008F350E"/>
    <w:rsid w:val="00904E16"/>
    <w:rsid w:val="009162B3"/>
    <w:rsid w:val="00927C62"/>
    <w:rsid w:val="00952CF2"/>
    <w:rsid w:val="00983951"/>
    <w:rsid w:val="00984124"/>
    <w:rsid w:val="00984640"/>
    <w:rsid w:val="00995C37"/>
    <w:rsid w:val="009C118A"/>
    <w:rsid w:val="00A02011"/>
    <w:rsid w:val="00A3413E"/>
    <w:rsid w:val="00A4011E"/>
    <w:rsid w:val="00A86015"/>
    <w:rsid w:val="00A9594E"/>
    <w:rsid w:val="00AC75E5"/>
    <w:rsid w:val="00AE59C8"/>
    <w:rsid w:val="00B10098"/>
    <w:rsid w:val="00B5790D"/>
    <w:rsid w:val="00B945C5"/>
    <w:rsid w:val="00BA20EA"/>
    <w:rsid w:val="00BB5AFC"/>
    <w:rsid w:val="00BC0A56"/>
    <w:rsid w:val="00C10C09"/>
    <w:rsid w:val="00C45366"/>
    <w:rsid w:val="00C57023"/>
    <w:rsid w:val="00C74052"/>
    <w:rsid w:val="00CB187A"/>
    <w:rsid w:val="00CC0EC7"/>
    <w:rsid w:val="00CD2D0C"/>
    <w:rsid w:val="00D03126"/>
    <w:rsid w:val="00D1088B"/>
    <w:rsid w:val="00D156D2"/>
    <w:rsid w:val="00D653B3"/>
    <w:rsid w:val="00D86943"/>
    <w:rsid w:val="00DA47B9"/>
    <w:rsid w:val="00E058D3"/>
    <w:rsid w:val="00E732AD"/>
    <w:rsid w:val="00E76AD9"/>
    <w:rsid w:val="00E91E2F"/>
    <w:rsid w:val="00EA3546"/>
    <w:rsid w:val="00EB47AE"/>
    <w:rsid w:val="00EC34E1"/>
    <w:rsid w:val="00F0234A"/>
    <w:rsid w:val="00F52959"/>
    <w:rsid w:val="00F55884"/>
    <w:rsid w:val="00F6408B"/>
    <w:rsid w:val="00F85D4E"/>
    <w:rsid w:val="00FA7FE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E24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5252</Characters>
  <Application>Microsoft Office Word</Application>
  <DocSecurity>0</DocSecurity>
  <Lines>141</Lines>
  <Paragraphs>33</Paragraphs>
  <ScaleCrop>false</ScaleCrop>
  <Company> </Company>
  <LinksUpToDate>false</LinksUpToDate>
  <CharactersWithSpaces>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2011-04-07T17:53:00Z</cp:lastPrinted>
  <dcterms:created xsi:type="dcterms:W3CDTF">2011-05-26T22:45:00Z</dcterms:created>
  <dcterms:modified xsi:type="dcterms:W3CDTF">2011-05-26T22:45:00Z</dcterms:modified>
</cp:coreProperties>
</file>