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0BBC" w:rsidRDefault="00360BBC" w:rsidP="00360BBC">
      <w:pPr>
        <w:widowControl w:val="0"/>
        <w:jc w:val="center"/>
      </w:pPr>
      <w:r w:rsidRPr="00360BBC">
        <w:rPr>
          <w:b/>
        </w:rPr>
        <w:t>South Carolina General Assembly</w:t>
      </w:r>
    </w:p>
    <w:p w:rsidR="00360BBC" w:rsidRDefault="00360BBC" w:rsidP="00360BBC">
      <w:pPr>
        <w:widowControl w:val="0"/>
        <w:jc w:val="center"/>
      </w:pPr>
      <w:r>
        <w:t>120th Session, 2013-2014</w:t>
      </w:r>
    </w:p>
    <w:p w:rsidR="00360BBC" w:rsidRDefault="00360BBC" w:rsidP="00360BBC">
      <w:pPr>
        <w:widowControl w:val="0"/>
        <w:jc w:val="left"/>
      </w:pPr>
    </w:p>
    <w:p w:rsidR="00360BBC" w:rsidRDefault="00360BBC" w:rsidP="00360BBC">
      <w:pPr>
        <w:widowControl w:val="0"/>
        <w:jc w:val="left"/>
        <w:rPr>
          <w:b/>
        </w:rPr>
      </w:pPr>
      <w:r w:rsidRPr="00360BBC">
        <w:rPr>
          <w:b/>
        </w:rPr>
        <w:t>H. 4919</w:t>
      </w:r>
    </w:p>
    <w:p w:rsidR="00360BBC" w:rsidRDefault="00360BBC" w:rsidP="00360BBC">
      <w:pPr>
        <w:widowControl w:val="0"/>
        <w:jc w:val="left"/>
        <w:rPr>
          <w:b/>
        </w:rPr>
      </w:pPr>
    </w:p>
    <w:p w:rsidR="00360BBC" w:rsidRDefault="00360BBC" w:rsidP="00360BBC">
      <w:pPr>
        <w:widowControl w:val="0"/>
        <w:jc w:val="left"/>
      </w:pPr>
      <w:r w:rsidRPr="00360BBC">
        <w:rPr>
          <w:b/>
        </w:rPr>
        <w:t>STATUS INFORMATION</w:t>
      </w:r>
    </w:p>
    <w:p w:rsidR="00360BBC" w:rsidRDefault="00360BBC" w:rsidP="00360BBC">
      <w:pPr>
        <w:widowControl w:val="0"/>
        <w:jc w:val="left"/>
      </w:pPr>
    </w:p>
    <w:p w:rsidR="00360BBC" w:rsidRDefault="00360BBC" w:rsidP="00360BBC">
      <w:pPr>
        <w:widowControl w:val="0"/>
        <w:jc w:val="left"/>
      </w:pPr>
      <w:r>
        <w:t>Concurrent Resolution</w:t>
      </w:r>
    </w:p>
    <w:p w:rsidR="00360BBC" w:rsidRDefault="00157EBD" w:rsidP="00360BBC">
      <w:pPr>
        <w:widowControl w:val="0"/>
        <w:jc w:val="left"/>
      </w:pPr>
      <w:r>
        <w:t>Sponsors: Reps. Hodges and Bowers</w:t>
      </w:r>
    </w:p>
    <w:p w:rsidR="00360BBC" w:rsidRDefault="00360BBC" w:rsidP="00360BBC">
      <w:pPr>
        <w:widowControl w:val="0"/>
        <w:jc w:val="left"/>
      </w:pPr>
      <w:r>
        <w:t>Document Path: l:\council\bills\nbd\11322dg14.docx</w:t>
      </w:r>
    </w:p>
    <w:p w:rsidR="00360BBC" w:rsidRDefault="00360BBC" w:rsidP="00360BBC">
      <w:pPr>
        <w:widowControl w:val="0"/>
        <w:jc w:val="left"/>
      </w:pPr>
    </w:p>
    <w:p w:rsidR="00360BBC" w:rsidRDefault="00360BBC" w:rsidP="00360BBC">
      <w:pPr>
        <w:widowControl w:val="0"/>
        <w:jc w:val="left"/>
      </w:pPr>
      <w:r>
        <w:t>Introduced in the House on March 12, 2014</w:t>
      </w:r>
    </w:p>
    <w:p w:rsidR="00360BBC" w:rsidRDefault="00360BBC" w:rsidP="00360BBC">
      <w:pPr>
        <w:widowControl w:val="0"/>
        <w:jc w:val="left"/>
      </w:pPr>
      <w:r>
        <w:t xml:space="preserve">Currently residing in the House Committee on </w:t>
      </w:r>
      <w:r w:rsidRPr="00360BBC">
        <w:rPr>
          <w:b/>
        </w:rPr>
        <w:t>Ways and Means</w:t>
      </w:r>
    </w:p>
    <w:p w:rsidR="00360BBC" w:rsidRDefault="00360BBC" w:rsidP="00360BBC">
      <w:pPr>
        <w:widowControl w:val="0"/>
        <w:jc w:val="left"/>
      </w:pPr>
    </w:p>
    <w:p w:rsidR="00360BBC" w:rsidRDefault="00360BBC" w:rsidP="00360BBC">
      <w:pPr>
        <w:widowControl w:val="0"/>
        <w:jc w:val="left"/>
      </w:pPr>
      <w:r>
        <w:t xml:space="preserve">Summary: </w:t>
      </w:r>
      <w:r w:rsidR="00D34286">
        <w:t>Port Royal</w:t>
      </w:r>
    </w:p>
    <w:p w:rsidR="00360BBC" w:rsidRDefault="00360BBC" w:rsidP="00360BBC">
      <w:pPr>
        <w:widowControl w:val="0"/>
        <w:jc w:val="left"/>
      </w:pPr>
    </w:p>
    <w:p w:rsidR="00360BBC" w:rsidRDefault="00360BBC" w:rsidP="00360BBC">
      <w:pPr>
        <w:widowControl w:val="0"/>
        <w:jc w:val="left"/>
      </w:pPr>
    </w:p>
    <w:p w:rsidR="00360BBC" w:rsidRDefault="00360BBC" w:rsidP="00360BBC">
      <w:pPr>
        <w:widowControl w:val="0"/>
        <w:tabs>
          <w:tab w:val="center" w:pos="590"/>
          <w:tab w:val="center" w:pos="1440"/>
          <w:tab w:val="left" w:pos="1872"/>
          <w:tab w:val="left" w:pos="9187"/>
        </w:tabs>
        <w:jc w:val="left"/>
      </w:pPr>
      <w:r w:rsidRPr="00360BBC">
        <w:rPr>
          <w:b/>
        </w:rPr>
        <w:t>HISTORY OF LEGISLATIVE ACTIONS</w:t>
      </w:r>
    </w:p>
    <w:p w:rsidR="00360BBC" w:rsidRDefault="00360BBC" w:rsidP="00360BBC">
      <w:pPr>
        <w:widowControl w:val="0"/>
        <w:tabs>
          <w:tab w:val="center" w:pos="590"/>
          <w:tab w:val="center" w:pos="1440"/>
          <w:tab w:val="left" w:pos="1872"/>
          <w:tab w:val="left" w:pos="9187"/>
        </w:tabs>
        <w:jc w:val="left"/>
      </w:pPr>
    </w:p>
    <w:p w:rsidR="00360BBC" w:rsidRPr="00360BBC" w:rsidRDefault="00360BBC" w:rsidP="00360BBC">
      <w:pPr>
        <w:widowControl w:val="0"/>
        <w:tabs>
          <w:tab w:val="center" w:pos="590"/>
          <w:tab w:val="center" w:pos="1440"/>
          <w:tab w:val="left" w:pos="1872"/>
          <w:tab w:val="left" w:pos="9187"/>
        </w:tabs>
        <w:jc w:val="left"/>
      </w:pPr>
      <w:r w:rsidRPr="00360BBC">
        <w:rPr>
          <w:u w:val="single"/>
        </w:rPr>
        <w:tab/>
        <w:t>Date</w:t>
      </w:r>
      <w:r w:rsidRPr="00360BBC">
        <w:rPr>
          <w:u w:val="single"/>
        </w:rPr>
        <w:tab/>
        <w:t>Body</w:t>
      </w:r>
      <w:r w:rsidRPr="00360BBC">
        <w:rPr>
          <w:u w:val="single"/>
        </w:rPr>
        <w:tab/>
        <w:t>Action Description with journal page number</w:t>
      </w:r>
      <w:r w:rsidRPr="00360BBC">
        <w:rPr>
          <w:u w:val="single"/>
        </w:rPr>
        <w:tab/>
      </w:r>
      <w:bookmarkStart w:id="0" w:name="_GoBack"/>
      <w:bookmarkEnd w:id="0"/>
    </w:p>
    <w:p w:rsidR="00157EBD" w:rsidRDefault="00157EBD" w:rsidP="00157EBD">
      <w:pPr>
        <w:widowControl w:val="0"/>
        <w:tabs>
          <w:tab w:val="right" w:pos="1008"/>
          <w:tab w:val="left" w:pos="1152"/>
          <w:tab w:val="left" w:pos="1872"/>
          <w:tab w:val="left" w:pos="9187"/>
        </w:tabs>
        <w:ind w:left="2088" w:hanging="2088"/>
        <w:jc w:val="left"/>
      </w:pPr>
      <w:r>
        <w:tab/>
        <w:t>3/12/2014</w:t>
      </w:r>
      <w:r>
        <w:tab/>
        <w:t>House</w:t>
      </w:r>
      <w:r>
        <w:tab/>
      </w:r>
      <w:r w:rsidRPr="001F3F47">
        <w:t>Introduced (</w:t>
      </w:r>
      <w:hyperlink r:id="rId7" w:history="1">
        <w:r w:rsidRPr="001F3F47">
          <w:rPr>
            <w:rStyle w:val="Hyperlink"/>
          </w:rPr>
          <w:t>House Journal</w:t>
        </w:r>
        <w:r w:rsidRPr="001F3F47">
          <w:rPr>
            <w:rStyle w:val="Hyperlink"/>
          </w:rPr>
          <w:noBreakHyphen/>
          <w:t>page 9</w:t>
        </w:r>
      </w:hyperlink>
      <w:r w:rsidRPr="001F3F47">
        <w:t>)</w:t>
      </w:r>
    </w:p>
    <w:p w:rsidR="00157EBD" w:rsidRDefault="00157EBD" w:rsidP="00157EBD">
      <w:pPr>
        <w:widowControl w:val="0"/>
        <w:tabs>
          <w:tab w:val="right" w:pos="1008"/>
          <w:tab w:val="left" w:pos="1152"/>
          <w:tab w:val="left" w:pos="1872"/>
          <w:tab w:val="left" w:pos="9187"/>
        </w:tabs>
        <w:ind w:left="2088" w:hanging="2088"/>
        <w:jc w:val="left"/>
      </w:pPr>
      <w:r>
        <w:tab/>
        <w:t>3/12/2014</w:t>
      </w:r>
      <w:r>
        <w:tab/>
        <w:t>House</w:t>
      </w:r>
      <w:r>
        <w:tab/>
      </w:r>
      <w:r w:rsidRPr="001F3F47">
        <w:t>Referred</w:t>
      </w:r>
      <w:r>
        <w:t xml:space="preserve"> to Committee on </w:t>
      </w:r>
      <w:r w:rsidRPr="001F3F47">
        <w:rPr>
          <w:b/>
        </w:rPr>
        <w:t>Ways and Means</w:t>
      </w:r>
      <w:r>
        <w:t xml:space="preserve"> </w:t>
      </w:r>
      <w:r w:rsidRPr="001F3F47">
        <w:t>(</w:t>
      </w:r>
      <w:hyperlink r:id="rId8" w:history="1">
        <w:r w:rsidRPr="001F3F47">
          <w:rPr>
            <w:rStyle w:val="Hyperlink"/>
          </w:rPr>
          <w:t>House Journal</w:t>
        </w:r>
        <w:r w:rsidRPr="001F3F47">
          <w:rPr>
            <w:rStyle w:val="Hyperlink"/>
          </w:rPr>
          <w:noBreakHyphen/>
          <w:t>page 9</w:t>
        </w:r>
      </w:hyperlink>
      <w:r w:rsidRPr="001F3F47">
        <w:t>)</w:t>
      </w:r>
    </w:p>
    <w:p w:rsidR="00157EBD" w:rsidRDefault="00157EBD" w:rsidP="00157EBD">
      <w:pPr>
        <w:widowControl w:val="0"/>
        <w:tabs>
          <w:tab w:val="right" w:pos="1008"/>
          <w:tab w:val="left" w:pos="1152"/>
          <w:tab w:val="left" w:pos="1872"/>
          <w:tab w:val="left" w:pos="9187"/>
        </w:tabs>
        <w:ind w:left="2088" w:hanging="2088"/>
        <w:jc w:val="left"/>
      </w:pPr>
      <w:r>
        <w:tab/>
        <w:t>4/10/2014</w:t>
      </w:r>
      <w:r>
        <w:tab/>
        <w:t>House</w:t>
      </w:r>
      <w:r>
        <w:tab/>
      </w:r>
      <w:r w:rsidRPr="001F3F47">
        <w:t>Member(s) request name added as sponsor: Bowers</w:t>
      </w:r>
    </w:p>
    <w:p w:rsidR="00157EBD" w:rsidRDefault="00157EBD" w:rsidP="00157EBD">
      <w:pPr>
        <w:widowControl w:val="0"/>
        <w:tabs>
          <w:tab w:val="right" w:pos="1008"/>
          <w:tab w:val="left" w:pos="1152"/>
          <w:tab w:val="left" w:pos="1872"/>
          <w:tab w:val="left" w:pos="9187"/>
        </w:tabs>
        <w:ind w:left="2088" w:hanging="2088"/>
        <w:jc w:val="left"/>
      </w:pPr>
    </w:p>
    <w:p w:rsidR="00360BBC" w:rsidRPr="00360BBC" w:rsidRDefault="00360BBC" w:rsidP="00360BBC">
      <w:pPr>
        <w:widowControl w:val="0"/>
        <w:tabs>
          <w:tab w:val="right" w:pos="1008"/>
          <w:tab w:val="left" w:pos="1152"/>
          <w:tab w:val="left" w:pos="1872"/>
          <w:tab w:val="left" w:pos="9187"/>
        </w:tabs>
        <w:ind w:left="2088" w:hanging="2088"/>
        <w:jc w:val="left"/>
      </w:pPr>
    </w:p>
    <w:p w:rsidR="00360BBC" w:rsidRDefault="00360BBC" w:rsidP="00360BBC">
      <w:pPr>
        <w:widowControl w:val="0"/>
        <w:jc w:val="left"/>
      </w:pPr>
      <w:r w:rsidRPr="00360BBC">
        <w:rPr>
          <w:b/>
        </w:rPr>
        <w:t>VERSIONS OF THIS BILL</w:t>
      </w:r>
    </w:p>
    <w:p w:rsidR="00360BBC" w:rsidRDefault="00360BBC" w:rsidP="00360BBC">
      <w:pPr>
        <w:widowControl w:val="0"/>
        <w:jc w:val="left"/>
      </w:pPr>
    </w:p>
    <w:p w:rsidR="00360BBC" w:rsidRDefault="00153CC5" w:rsidP="00360BBC">
      <w:pPr>
        <w:widowControl w:val="0"/>
        <w:jc w:val="left"/>
      </w:pPr>
      <w:hyperlink r:id="rId9" w:history="1">
        <w:r w:rsidR="00360BBC">
          <w:rPr>
            <w:rStyle w:val="Hyperlink"/>
          </w:rPr>
          <w:t>3/12/2014</w:t>
        </w:r>
      </w:hyperlink>
    </w:p>
    <w:p w:rsidR="00360BBC" w:rsidRDefault="00360BBC" w:rsidP="00360BBC"/>
    <w:p w:rsidR="00360BBC" w:rsidRDefault="00360BBC" w:rsidP="00360BBC">
      <w:pPr>
        <w:sectPr w:rsidR="00360BBC" w:rsidSect="00360BBC">
          <w:pgSz w:w="12240" w:h="15840" w:code="1"/>
          <w:pgMar w:top="1080" w:right="1440" w:bottom="1080" w:left="1440" w:header="720" w:footer="720" w:gutter="0"/>
          <w:cols w:space="720"/>
          <w:noEndnote/>
          <w:docGrid w:linePitch="360"/>
        </w:sectPr>
      </w:pPr>
    </w:p>
    <w:p w:rsidR="001262EE" w:rsidRDefault="001262EE" w:rsidP="001262EE">
      <w:pPr>
        <w:pStyle w:val="BillDots"/>
      </w:pPr>
    </w:p>
    <w:p w:rsidR="001262EE" w:rsidRDefault="001262EE" w:rsidP="001262EE">
      <w:pPr>
        <w:pStyle w:val="Numbersforbills"/>
      </w:pPr>
    </w:p>
    <w:p w:rsidR="001262EE" w:rsidRDefault="001262EE" w:rsidP="0012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2EE" w:rsidRDefault="001262EE" w:rsidP="0012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2EE" w:rsidRDefault="001262EE" w:rsidP="0012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2EE" w:rsidRDefault="001262EE" w:rsidP="0012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2EE" w:rsidRDefault="001262EE" w:rsidP="0012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5A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843B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82A8B" w:rsidRDefault="00782A8B" w:rsidP="00782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7177F">
        <w:rPr>
          <w:color w:val="000000" w:themeColor="text1"/>
          <w:u w:color="000000" w:themeColor="text1"/>
        </w:rPr>
        <w:t xml:space="preserve">STATING THE DESIRE OF THE MEMBERS OF THE </w:t>
      </w:r>
      <w:r w:rsidR="008C524E">
        <w:rPr>
          <w:color w:val="000000" w:themeColor="text1"/>
          <w:u w:color="000000" w:themeColor="text1"/>
        </w:rPr>
        <w:t>SOUTH CAROLINA GENERAL ASSEMBLY</w:t>
      </w:r>
      <w:r w:rsidRPr="0087177F">
        <w:rPr>
          <w:color w:val="000000" w:themeColor="text1"/>
          <w:u w:color="000000" w:themeColor="text1"/>
        </w:rPr>
        <w:t xml:space="preserve"> TO PLACE IN ABEYANCE THE PROVISIONS OF ACT 313 OF 2004 REQUIRING THE STATE PORTS AUTHORITY TO SELL THE MARINE TERMINAL OPERATIONS PROPERTY AT PORT ROYAL AND FURTHER REQUEST THAT THE STATE BUDGET AND CONTROL BOARD, IN CONSULTATION WITH THE STATE PORTS AUTHORITY, REEVALUATE THE PROPERTY AT PORT ROYAL TO DETERMINE THE BEST USE OF THE PROPERTY FOR THE BENEFIT OF THE STATE.</w:t>
      </w:r>
    </w:p>
    <w:p w:rsidR="003843BE" w:rsidRDefault="003843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477B4" w:rsidRDefault="002477B4" w:rsidP="00247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rich in history, the Town of Port Royal dates back to 1562 when it was explored by Frenchman Jean Ribault and named for the adjacent Port Royal Sound; and</w:t>
      </w:r>
    </w:p>
    <w:p w:rsidR="002477B4" w:rsidRDefault="002477B4" w:rsidP="00247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77B4" w:rsidRDefault="002477B4" w:rsidP="00247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Port Royal also was the site of the Naval Battle of Port Royal during the Civil War and was one of the sites of the Port Royal Experiment; and</w:t>
      </w:r>
    </w:p>
    <w:p w:rsidR="002477B4" w:rsidRDefault="002477B4" w:rsidP="00247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77B4" w:rsidRPr="0087177F" w:rsidRDefault="002477B4" w:rsidP="00247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Town of Port Royal is proud to include the Camp Sexton Site, Fort Frederick Heritage Preserve, Hasell Point Site, Little Barnwell Island, F.W. Scheper Store, and Union Church on the National Register of Historic Places; and  </w:t>
      </w:r>
    </w:p>
    <w:p w:rsidR="002477B4" w:rsidRDefault="002477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7B4" w:rsidRDefault="002477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Port Royal has served as the home of the Marine Corps Recruit Depot at Parris Island since 1915; and</w:t>
      </w:r>
    </w:p>
    <w:p w:rsidR="002477B4" w:rsidRDefault="002477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A8B" w:rsidRPr="0087177F" w:rsidRDefault="00782A8B" w:rsidP="00782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177F">
        <w:rPr>
          <w:color w:val="000000" w:themeColor="text1"/>
          <w:u w:color="000000" w:themeColor="text1"/>
        </w:rPr>
        <w:t xml:space="preserve">Whereas, the members of the </w:t>
      </w:r>
      <w:r w:rsidR="008C524E">
        <w:rPr>
          <w:color w:val="000000" w:themeColor="text1"/>
          <w:u w:color="000000" w:themeColor="text1"/>
        </w:rPr>
        <w:t>General Assembly</w:t>
      </w:r>
      <w:r w:rsidRPr="0087177F">
        <w:rPr>
          <w:color w:val="000000" w:themeColor="text1"/>
          <w:u w:color="000000" w:themeColor="text1"/>
        </w:rPr>
        <w:t xml:space="preserve"> are stewards of the public trust and all resources of the State, the use of which must be in furtherance of the public good; and</w:t>
      </w:r>
    </w:p>
    <w:p w:rsidR="00782A8B" w:rsidRPr="0087177F" w:rsidRDefault="00782A8B" w:rsidP="00782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2A8B" w:rsidRPr="0087177F" w:rsidRDefault="00782A8B" w:rsidP="00782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177F">
        <w:rPr>
          <w:color w:val="000000" w:themeColor="text1"/>
          <w:u w:color="000000" w:themeColor="text1"/>
        </w:rPr>
        <w:lastRenderedPageBreak/>
        <w:t>Whereas, public waterfront property provides an especially valuable asset to the State and its residents and any use of which must be stringently evaluated; and</w:t>
      </w:r>
    </w:p>
    <w:p w:rsidR="00782A8B" w:rsidRPr="0087177F" w:rsidRDefault="00782A8B" w:rsidP="00782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2A8B" w:rsidRDefault="00782A8B" w:rsidP="00782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177F">
        <w:rPr>
          <w:color w:val="000000" w:themeColor="text1"/>
          <w:u w:color="000000" w:themeColor="text1"/>
        </w:rPr>
        <w:t>Whereas, by Act 313 of 2004, the General Assembly directed the State Ports Authority to sell the property that was previously operated as the marine terminal at Port Royal and further provided that the terms of any such sale must not extend beyond December 31, 2006. As of this time, this property has not been sold, and no bidder has met the requirements of the sale; and</w:t>
      </w:r>
    </w:p>
    <w:p w:rsidR="001C76AB" w:rsidRDefault="001C76AB" w:rsidP="00782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3BE" w:rsidRDefault="00782A8B" w:rsidP="00782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177F">
        <w:rPr>
          <w:color w:val="000000" w:themeColor="text1"/>
          <w:u w:color="000000" w:themeColor="text1"/>
        </w:rPr>
        <w:t xml:space="preserve">Whereas, </w:t>
      </w:r>
      <w:r w:rsidR="002477B4">
        <w:rPr>
          <w:color w:val="000000" w:themeColor="text1"/>
          <w:u w:color="000000" w:themeColor="text1"/>
        </w:rPr>
        <w:t xml:space="preserve">like the town itself, </w:t>
      </w:r>
      <w:r w:rsidRPr="0087177F">
        <w:rPr>
          <w:color w:val="000000" w:themeColor="text1"/>
          <w:u w:color="000000" w:themeColor="text1"/>
        </w:rPr>
        <w:t xml:space="preserve">the Port Royal property is steeped in tradition and is an </w:t>
      </w:r>
      <w:r w:rsidR="00FA1A24">
        <w:rPr>
          <w:color w:val="000000" w:themeColor="text1"/>
          <w:u w:color="000000" w:themeColor="text1"/>
        </w:rPr>
        <w:t xml:space="preserve">exceptionally </w:t>
      </w:r>
      <w:r w:rsidRPr="0087177F">
        <w:rPr>
          <w:color w:val="000000" w:themeColor="text1"/>
          <w:u w:color="000000" w:themeColor="text1"/>
        </w:rPr>
        <w:t>valuable asset that will be forever removed from the public domain if it is sold, it is incumbent upon the State to reconsider the directive to sell this property and to further assess the possibility of retaining this proper</w:t>
      </w:r>
      <w:r>
        <w:rPr>
          <w:color w:val="000000" w:themeColor="text1"/>
          <w:u w:color="000000" w:themeColor="text1"/>
        </w:rPr>
        <w:t xml:space="preserve">ty for the benefit of the State. </w:t>
      </w:r>
      <w:r w:rsidRPr="0087177F">
        <w:rPr>
          <w:color w:val="000000" w:themeColor="text1"/>
          <w:u w:color="000000" w:themeColor="text1"/>
        </w:rPr>
        <w:t xml:space="preserve">Now, therefore, </w:t>
      </w:r>
      <w:r w:rsidR="003843BE">
        <w:t xml:space="preserve"> </w:t>
      </w:r>
    </w:p>
    <w:p w:rsidR="003843BE" w:rsidRDefault="003843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3BE" w:rsidRDefault="003843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843BE" w:rsidRDefault="003843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A8B" w:rsidRPr="0087177F" w:rsidRDefault="00782A8B" w:rsidP="00782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177F">
        <w:rPr>
          <w:color w:val="000000" w:themeColor="text1"/>
          <w:u w:color="000000" w:themeColor="text1"/>
        </w:rPr>
        <w:t xml:space="preserve">That the members of the South Carolina </w:t>
      </w:r>
      <w:r>
        <w:rPr>
          <w:color w:val="000000" w:themeColor="text1"/>
          <w:u w:color="000000" w:themeColor="text1"/>
        </w:rPr>
        <w:t>General Assembly</w:t>
      </w:r>
      <w:r w:rsidRPr="0087177F">
        <w:rPr>
          <w:color w:val="000000" w:themeColor="text1"/>
          <w:u w:color="000000" w:themeColor="text1"/>
        </w:rPr>
        <w:t xml:space="preserve">, by this resolution, desire to place in abeyance the provisions of Act 313 of 2004 requiring the State Ports Authority to sell the marine terminal operations property at Port Royal and further requesting that the State Budget and Control Board, in consultation with the State Ports Authority, reevaluate the property at Port Royal to determine the best use of the property for the benefit of the State. </w:t>
      </w:r>
    </w:p>
    <w:p w:rsidR="00782A8B" w:rsidRPr="0087177F" w:rsidRDefault="00782A8B" w:rsidP="00782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782A8B" w:rsidP="00782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7177F">
        <w:rPr>
          <w:color w:val="000000" w:themeColor="text1"/>
          <w:u w:color="000000" w:themeColor="text1"/>
        </w:rPr>
        <w:t>Be it further resolved that a copy of this resolution be sent to the State Ports Authority and the State Budget and Control Board.</w:t>
      </w:r>
    </w:p>
    <w:p w:rsidR="00FC5A6C" w:rsidRDefault="00817F1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C5A6C" w:rsidRDefault="00FC5A6C" w:rsidP="00360BBC">
      <w:pPr>
        <w:suppressAutoHyphens/>
      </w:pPr>
    </w:p>
    <w:sectPr w:rsidR="00FC5A6C" w:rsidSect="00360BB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76AB" w:rsidRDefault="001C76AB" w:rsidP="009F0C77">
      <w:r>
        <w:separator/>
      </w:r>
    </w:p>
  </w:endnote>
  <w:endnote w:type="continuationSeparator" w:id="0">
    <w:p w:rsidR="001C76AB" w:rsidRDefault="001C76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BE391D9-8032-4A58-AD2C-28E5141BDE67}"/>
    <w:embedBold r:id="rId2" w:fontKey="{7E014EB1-7FEC-4235-8934-E27A22485691}"/>
  </w:font>
  <w:font w:name="Calibri">
    <w:panose1 w:val="020F0502020204030204"/>
    <w:charset w:val="00"/>
    <w:family w:val="swiss"/>
    <w:pitch w:val="variable"/>
    <w:sig w:usb0="E10002FF" w:usb1="4000ACFF" w:usb2="00000009" w:usb3="00000000" w:csb0="0000019F" w:csb1="00000000"/>
    <w:embedRegular r:id="rId3" w:fontKey="{1D3EB831-3F60-4728-8C1B-4AAFC39A7C15}"/>
  </w:font>
  <w:font w:name="Tahoma">
    <w:panose1 w:val="020B0604030504040204"/>
    <w:charset w:val="00"/>
    <w:family w:val="swiss"/>
    <w:pitch w:val="variable"/>
    <w:sig w:usb0="21002A87" w:usb1="80000000" w:usb2="00000008" w:usb3="00000000" w:csb0="000101FF" w:csb1="00000000"/>
    <w:embedRegular r:id="rId4" w:fontKey="{5C51CAB9-BDDC-4153-8B9F-C4CDA1CF9A0A}"/>
  </w:font>
  <w:font w:name="Cambria">
    <w:panose1 w:val="02040503050406030204"/>
    <w:charset w:val="00"/>
    <w:family w:val="roman"/>
    <w:pitch w:val="variable"/>
    <w:sig w:usb0="E00002FF" w:usb1="400004FF" w:usb2="00000000" w:usb3="00000000" w:csb0="0000019F" w:csb1="00000000"/>
    <w:embedRegular r:id="rId5" w:fontKey="{43FE5945-D6CC-44B6-97A3-FF2EACD968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0BBC" w:rsidRPr="00FC5A6C" w:rsidRDefault="00360BBC" w:rsidP="00FC5A6C">
    <w:pPr>
      <w:pStyle w:val="Footer"/>
      <w:tabs>
        <w:tab w:val="clear" w:pos="4680"/>
        <w:tab w:val="clear" w:pos="9360"/>
        <w:tab w:val="center" w:pos="2995"/>
      </w:tabs>
      <w:spacing w:before="120"/>
    </w:pPr>
    <w:r>
      <w:t>[4919]</w:t>
    </w:r>
    <w:r>
      <w:tab/>
    </w:r>
    <w:r w:rsidR="00167250">
      <w:fldChar w:fldCharType="begin"/>
    </w:r>
    <w:r w:rsidR="00167250">
      <w:instrText xml:space="preserve"> PAGE  \* MERGEFORMAT </w:instrText>
    </w:r>
    <w:r w:rsidR="00167250">
      <w:fldChar w:fldCharType="separate"/>
    </w:r>
    <w:r w:rsidR="00153CC5">
      <w:rPr>
        <w:noProof/>
      </w:rPr>
      <w:t>1</w:t>
    </w:r>
    <w:r w:rsidR="0016725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76AB" w:rsidRDefault="001C76AB" w:rsidP="009F0C77">
      <w:r>
        <w:separator/>
      </w:r>
    </w:p>
  </w:footnote>
  <w:footnote w:type="continuationSeparator" w:id="0">
    <w:p w:rsidR="001C76AB" w:rsidRDefault="001C76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322DG14"/>
    <w:docVar w:name="CoverBillType" w:val="c"/>
    <w:docVar w:name="docpath" w:val="L:\Council\bills\NBD\11322DG14.DOCX"/>
    <w:docVar w:name="dvBillNumber" w:val="4919"/>
    <w:docVar w:name="dvBillNumberPrefix" w:val="H. "/>
    <w:docVar w:name="dvOriginalBody" w:val="House"/>
    <w:docVar w:name="dvSteno" w:val="NBD"/>
    <w:docVar w:name="NameofBody" w:val="h"/>
    <w:docVar w:name="vgroup2" w:val="Council"/>
  </w:docVars>
  <w:rsids>
    <w:rsidRoot w:val="00F24902"/>
    <w:rsid w:val="00011869"/>
    <w:rsid w:val="000E1785"/>
    <w:rsid w:val="000F40FA"/>
    <w:rsid w:val="0010776B"/>
    <w:rsid w:val="001262EE"/>
    <w:rsid w:val="00133E66"/>
    <w:rsid w:val="001435A3"/>
    <w:rsid w:val="00153CC5"/>
    <w:rsid w:val="00157EBD"/>
    <w:rsid w:val="00167250"/>
    <w:rsid w:val="001C76AB"/>
    <w:rsid w:val="001D08F2"/>
    <w:rsid w:val="001D525B"/>
    <w:rsid w:val="001D7F4F"/>
    <w:rsid w:val="00204530"/>
    <w:rsid w:val="002321B6"/>
    <w:rsid w:val="002477B4"/>
    <w:rsid w:val="00250967"/>
    <w:rsid w:val="002543C8"/>
    <w:rsid w:val="00284AAE"/>
    <w:rsid w:val="002E5912"/>
    <w:rsid w:val="00301B21"/>
    <w:rsid w:val="00325348"/>
    <w:rsid w:val="0032732C"/>
    <w:rsid w:val="003323A3"/>
    <w:rsid w:val="00336AD0"/>
    <w:rsid w:val="00360BBC"/>
    <w:rsid w:val="0037079A"/>
    <w:rsid w:val="003843BE"/>
    <w:rsid w:val="003D01E8"/>
    <w:rsid w:val="003E5288"/>
    <w:rsid w:val="003F6D79"/>
    <w:rsid w:val="00411D65"/>
    <w:rsid w:val="0041760A"/>
    <w:rsid w:val="00417C01"/>
    <w:rsid w:val="004809EE"/>
    <w:rsid w:val="004843B0"/>
    <w:rsid w:val="004C3FEF"/>
    <w:rsid w:val="004E7D54"/>
    <w:rsid w:val="00512E04"/>
    <w:rsid w:val="005273C6"/>
    <w:rsid w:val="00530A69"/>
    <w:rsid w:val="00545593"/>
    <w:rsid w:val="00577C6C"/>
    <w:rsid w:val="005967A3"/>
    <w:rsid w:val="005C2FE2"/>
    <w:rsid w:val="005C4CEA"/>
    <w:rsid w:val="005E2BC9"/>
    <w:rsid w:val="00605102"/>
    <w:rsid w:val="006215AA"/>
    <w:rsid w:val="006913C9"/>
    <w:rsid w:val="0069470D"/>
    <w:rsid w:val="00734F00"/>
    <w:rsid w:val="00782A8B"/>
    <w:rsid w:val="007A70AE"/>
    <w:rsid w:val="007E3845"/>
    <w:rsid w:val="007F55B3"/>
    <w:rsid w:val="00817F1F"/>
    <w:rsid w:val="008362E8"/>
    <w:rsid w:val="008A1768"/>
    <w:rsid w:val="008C524E"/>
    <w:rsid w:val="008F0F33"/>
    <w:rsid w:val="008F4429"/>
    <w:rsid w:val="0094021A"/>
    <w:rsid w:val="00982FF0"/>
    <w:rsid w:val="009B44AF"/>
    <w:rsid w:val="009C6A0B"/>
    <w:rsid w:val="009F0C77"/>
    <w:rsid w:val="009F4DD1"/>
    <w:rsid w:val="00A41684"/>
    <w:rsid w:val="00A64E80"/>
    <w:rsid w:val="00A72BCD"/>
    <w:rsid w:val="00A73FD9"/>
    <w:rsid w:val="00A741D9"/>
    <w:rsid w:val="00A833AB"/>
    <w:rsid w:val="00A9741D"/>
    <w:rsid w:val="00AD4B17"/>
    <w:rsid w:val="00AD529E"/>
    <w:rsid w:val="00AF12B9"/>
    <w:rsid w:val="00B412D4"/>
    <w:rsid w:val="00B85EDB"/>
    <w:rsid w:val="00BE3C22"/>
    <w:rsid w:val="00C0345E"/>
    <w:rsid w:val="00C2584C"/>
    <w:rsid w:val="00C3483A"/>
    <w:rsid w:val="00C669A8"/>
    <w:rsid w:val="00C74E9D"/>
    <w:rsid w:val="00C82FD3"/>
    <w:rsid w:val="00C92819"/>
    <w:rsid w:val="00CC6B7B"/>
    <w:rsid w:val="00CD0B10"/>
    <w:rsid w:val="00CD2089"/>
    <w:rsid w:val="00D34286"/>
    <w:rsid w:val="00D73A67"/>
    <w:rsid w:val="00D970A9"/>
    <w:rsid w:val="00DF3845"/>
    <w:rsid w:val="00E41911"/>
    <w:rsid w:val="00E92EEF"/>
    <w:rsid w:val="00F10E13"/>
    <w:rsid w:val="00F24442"/>
    <w:rsid w:val="00F24902"/>
    <w:rsid w:val="00F50958"/>
    <w:rsid w:val="00F50AE3"/>
    <w:rsid w:val="00F67CF1"/>
    <w:rsid w:val="00F840F0"/>
    <w:rsid w:val="00FA1A24"/>
    <w:rsid w:val="00FB0D0D"/>
    <w:rsid w:val="00FB43B4"/>
    <w:rsid w:val="00FC5A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0585A0C-202A-4DB0-BF44-E718DAF1D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82A8B"/>
    <w:rPr>
      <w:rFonts w:ascii="Tahoma" w:hAnsi="Tahoma" w:cs="Tahoma"/>
      <w:sz w:val="16"/>
      <w:szCs w:val="16"/>
    </w:rPr>
  </w:style>
  <w:style w:type="character" w:customStyle="1" w:styleId="BalloonTextChar">
    <w:name w:val="Balloon Text Char"/>
    <w:basedOn w:val="DefaultParagraphFont"/>
    <w:link w:val="BalloonText"/>
    <w:uiPriority w:val="99"/>
    <w:semiHidden/>
    <w:rsid w:val="00782A8B"/>
    <w:rPr>
      <w:rFonts w:ascii="Tahoma" w:eastAsia="Times New Roman" w:hAnsi="Tahoma" w:cs="Tahoma"/>
      <w:sz w:val="16"/>
      <w:szCs w:val="16"/>
    </w:rPr>
  </w:style>
  <w:style w:type="character" w:styleId="Hyperlink">
    <w:name w:val="Hyperlink"/>
    <w:basedOn w:val="DefaultParagraphFont"/>
    <w:uiPriority w:val="99"/>
    <w:unhideWhenUsed/>
    <w:rsid w:val="00360B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3-12-14.docx" TargetMode="External"/><Relationship Id="rId3" Type="http://schemas.openxmlformats.org/officeDocument/2006/relationships/settings" Target="settings.xml"/><Relationship Id="rId7" Type="http://schemas.openxmlformats.org/officeDocument/2006/relationships/hyperlink" Target="file:///H:\HJ%20Archive\2014\03-12-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919_201403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39B865-E378-4018-A4C8-96332A375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555</Words>
  <Characters>3168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4919: Port Royal - South Carolina Legislature Online</dc:title>
  <dc:creator>%USERNAME%</dc:creator>
  <cp:lastModifiedBy>N Cumfer</cp:lastModifiedBy>
  <cp:revision>7</cp:revision>
  <cp:lastPrinted>2014-03-10T20:48:00Z</cp:lastPrinted>
  <dcterms:created xsi:type="dcterms:W3CDTF">2014-03-12T14:53:00Z</dcterms:created>
  <dcterms:modified xsi:type="dcterms:W3CDTF">2014-12-05T17:05:00Z</dcterms:modified>
</cp:coreProperties>
</file>