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ED" w:rsidRDefault="00F57EED" w:rsidP="00BB0D7A">
      <w:pPr>
        <w:pStyle w:val="BillDots0"/>
      </w:pPr>
      <w:r>
        <w:rPr>
          <w:strike/>
        </w:rPr>
        <w:t>Indicates Matter Stricken</w:t>
      </w:r>
    </w:p>
    <w:p w:rsidR="00F57EED" w:rsidRPr="00F57EED" w:rsidRDefault="00F57EED" w:rsidP="00BB0D7A">
      <w:pPr>
        <w:pStyle w:val="BillDots0"/>
      </w:pPr>
      <w:r>
        <w:rPr>
          <w:u w:val="single"/>
        </w:rPr>
        <w:t>Indicates New Matter</w:t>
      </w:r>
    </w:p>
    <w:p w:rsidR="00F57EED" w:rsidRDefault="00F57EED" w:rsidP="00BB0D7A">
      <w:pPr>
        <w:pStyle w:val="BillDots0"/>
      </w:pPr>
    </w:p>
    <w:p w:rsidR="00F57EED" w:rsidRDefault="00F57EED" w:rsidP="00BB0D7A">
      <w:pPr>
        <w:pStyle w:val="BillDots0"/>
      </w:pPr>
      <w:r>
        <w:t>COMMITTEE REPORT</w:t>
      </w:r>
    </w:p>
    <w:p w:rsidR="00F57EED" w:rsidRDefault="00F57EED" w:rsidP="00BB0D7A">
      <w:pPr>
        <w:pStyle w:val="BillDots0"/>
      </w:pPr>
      <w:r>
        <w:t>May 15, 2014</w:t>
      </w:r>
    </w:p>
    <w:p w:rsidR="00F57EED" w:rsidRDefault="00F57EED" w:rsidP="00BB0D7A">
      <w:pPr>
        <w:pStyle w:val="BillDots0"/>
      </w:pPr>
    </w:p>
    <w:p w:rsidR="00F57EED" w:rsidRPr="00F57EED" w:rsidRDefault="00F57EED" w:rsidP="00F57EED">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F57EED" w:rsidRDefault="00F57EED" w:rsidP="00BB0D7A">
      <w:pPr>
        <w:pStyle w:val="BillDots0"/>
      </w:pPr>
    </w:p>
    <w:p w:rsidR="00F57EED" w:rsidRDefault="00F57EED" w:rsidP="00F57EED">
      <w:pPr>
        <w:pStyle w:val="BillDots0"/>
        <w:jc w:val="center"/>
      </w:pPr>
      <w:r>
        <w:t>Introduced by Senators Coleman, Johnson and McElveen</w:t>
      </w:r>
    </w:p>
    <w:p w:rsidR="00F57EED" w:rsidRDefault="00F57EED" w:rsidP="00BB0D7A">
      <w:pPr>
        <w:pStyle w:val="BillDots0"/>
      </w:pPr>
    </w:p>
    <w:p w:rsidR="00F57EED" w:rsidRDefault="00F57EED" w:rsidP="00BB0D7A">
      <w:pPr>
        <w:pStyle w:val="BillDots0"/>
      </w:pPr>
      <w:r>
        <w:t>S. Printed 5/15/14--H.</w:t>
      </w:r>
    </w:p>
    <w:p w:rsidR="00F57EED" w:rsidRDefault="00F57EED" w:rsidP="00BB0D7A">
      <w:pPr>
        <w:pStyle w:val="BillDots0"/>
      </w:pPr>
      <w:r>
        <w:t>Read the first time June 5, 2013.</w:t>
      </w:r>
    </w:p>
    <w:p w:rsidR="00F57EED" w:rsidRPr="00F57EED" w:rsidRDefault="00F57EED" w:rsidP="00F57EED">
      <w:pPr>
        <w:pStyle w:val="BillDots0"/>
        <w:jc w:val="center"/>
      </w:pPr>
      <w:r>
        <w:rPr>
          <w:u w:val="single"/>
        </w:rPr>
        <w:t>            </w:t>
      </w:r>
    </w:p>
    <w:p w:rsidR="00F57EED" w:rsidRDefault="00F57EED" w:rsidP="00BB0D7A">
      <w:pPr>
        <w:pStyle w:val="BillDots0"/>
      </w:pPr>
    </w:p>
    <w:p w:rsidR="00F57EED" w:rsidRPr="00F57EED" w:rsidRDefault="00F57EED" w:rsidP="00F57EED">
      <w:pPr>
        <w:pStyle w:val="BillDots0"/>
        <w:jc w:val="center"/>
      </w:pPr>
      <w:r>
        <w:rPr>
          <w:b/>
        </w:rPr>
        <w:t>THE COMMITTEE ON WAYS AND MEANS</w:t>
      </w:r>
    </w:p>
    <w:p w:rsidR="00F57EED" w:rsidRDefault="00F57EED" w:rsidP="00BB0D7A">
      <w:pPr>
        <w:pStyle w:val="BillDots0"/>
      </w:pPr>
      <w:r>
        <w:tab/>
        <w:t xml:space="preserve">To whom was referred a Bill (S. 234) </w:t>
      </w:r>
      <w:r w:rsidRPr="00F57EED">
        <w:rPr>
          <w:color w:val="000000" w:themeColor="text1"/>
          <w:u w:color="000000" w:themeColor="text1"/>
        </w:rPr>
        <w:t>to amend the Code of Laws of South Carolina, 1976, by adding Chapter 67 to Title 12 so as to enact the “South Carolina Abandoned Buildings Revitalization Act” which</w:t>
      </w:r>
      <w:r>
        <w:t>, etc., respectfully</w:t>
      </w:r>
    </w:p>
    <w:p w:rsidR="00F57EED" w:rsidRPr="00F57EED" w:rsidRDefault="00F57EED" w:rsidP="00F57EED">
      <w:pPr>
        <w:pStyle w:val="BillDots0"/>
        <w:jc w:val="center"/>
      </w:pPr>
      <w:r>
        <w:rPr>
          <w:b/>
        </w:rPr>
        <w:t>REPORT:</w:t>
      </w:r>
    </w:p>
    <w:p w:rsidR="00F57EED" w:rsidRDefault="00F57EED" w:rsidP="00BB0D7A">
      <w:pPr>
        <w:pStyle w:val="BillDots0"/>
      </w:pPr>
      <w:r>
        <w:tab/>
        <w:t>That they have duly and carefully considered the same and recommend that the same do pass with amendment:</w:t>
      </w:r>
    </w:p>
    <w:p w:rsidR="00F57EED" w:rsidRDefault="00F57EED" w:rsidP="00BB0D7A">
      <w:pPr>
        <w:pStyle w:val="BillDots0"/>
      </w:pP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57271">
        <w:t xml:space="preserve">Amend the bill, as and if amended, </w:t>
      </w:r>
      <w:r w:rsidRPr="00E57271">
        <w:rPr>
          <w:u w:color="000000" w:themeColor="text1"/>
        </w:rPr>
        <w:t>by striking all after the enacting words and inserting:</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w:t>
      </w:r>
      <w:r w:rsidRPr="00E57271">
        <w:rPr>
          <w:u w:color="000000" w:themeColor="text1"/>
        </w:rPr>
        <w:tab/>
        <w:t>SECTION</w:t>
      </w:r>
      <w:r w:rsidRPr="00E57271">
        <w:rPr>
          <w:u w:color="000000" w:themeColor="text1"/>
        </w:rPr>
        <w:tab/>
        <w:t>1.</w:t>
      </w:r>
      <w:r w:rsidRPr="00E57271">
        <w:rPr>
          <w:u w:color="000000" w:themeColor="text1"/>
        </w:rPr>
        <w:tab/>
        <w:t>Section 12</w:t>
      </w:r>
      <w:r w:rsidRPr="00E57271">
        <w:rPr>
          <w:u w:color="000000" w:themeColor="text1"/>
        </w:rPr>
        <w:noBreakHyphen/>
        <w:t>67</w:t>
      </w:r>
      <w:r w:rsidRPr="00E57271">
        <w:rPr>
          <w:u w:color="000000" w:themeColor="text1"/>
        </w:rPr>
        <w:noBreakHyphen/>
        <w:t>120 of the 1976 Code, as added by Act 57 of 2013, is amended by adding an item at the end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t>‘State</w:t>
      </w:r>
      <w:r w:rsidRPr="00E57271">
        <w:rPr>
          <w:u w:color="000000" w:themeColor="text1"/>
        </w:rPr>
        <w:noBreakHyphen/>
        <w:t>owned abandoned building’ means an abandoned building and its ancillary service buildings, the combined square footage of which is greater than one hundred fifty thousand square feet, that has been abandoned for more than ten years, and was most recently owned by the State, or an agency, instrumentality, or political subdivision of the State.”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Pr="00E57271">
        <w:rPr>
          <w:u w:color="000000" w:themeColor="text1"/>
        </w:rPr>
        <w:noBreakHyphen/>
        <w:t>67</w:t>
      </w:r>
      <w:r w:rsidRPr="00E57271">
        <w:rPr>
          <w:u w:color="000000" w:themeColor="text1"/>
        </w:rPr>
        <w:noBreakHyphen/>
        <w:t>140(B)(3) of 1976 Code, as added by Act 57 of 2013, is amended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Except for a credit claimed in connection with the rehabilitation of a state owned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Pr="00E57271">
        <w:rPr>
          <w:u w:color="000000" w:themeColor="text1"/>
        </w:rPr>
        <w:noBreakHyphen/>
        <w:t xml:space="preserve">year period beginning with the tax year in which the applicable phase or portion of the building site is </w:t>
      </w:r>
      <w:r w:rsidRPr="00E57271">
        <w:rPr>
          <w:u w:color="000000" w:themeColor="text1"/>
        </w:rPr>
        <w:lastRenderedPageBreak/>
        <w:t xml:space="preserve">placed in service. </w:t>
      </w:r>
      <w:r w:rsidRPr="00E57271">
        <w:rPr>
          <w:u w:val="single" w:color="000000" w:themeColor="text1"/>
        </w:rPr>
        <w:t>If the credit is earned in connection with the rehabilitation of a state owned abandoned building, the entire credit is earned in the taxable year in which the applicable phase or portion of the building site is placed in service but must be claimed in equal installments over a two</w:t>
      </w:r>
      <w:r w:rsidRPr="00E57271">
        <w:rPr>
          <w:u w:val="single" w:color="000000" w:themeColor="text1"/>
        </w:rPr>
        <w:noBreakHyphen/>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r w:rsidRPr="00E57271">
        <w:rPr>
          <w:u w:val="single" w:color="000000" w:themeColor="text1"/>
        </w:rPr>
        <w:t>The limitation provided for in this subitem does not apply to any state owned abandoned building.</w:t>
      </w:r>
      <w:r w:rsidRPr="00E57271">
        <w:rPr>
          <w:u w:color="000000" w:themeColor="text1"/>
        </w:rPr>
        <w: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B.</w:t>
      </w:r>
      <w:r>
        <w:rPr>
          <w:u w:color="000000" w:themeColor="text1"/>
        </w:rPr>
        <w:tab/>
      </w:r>
      <w:r w:rsidRPr="00E57271">
        <w:rPr>
          <w:u w:color="000000" w:themeColor="text1"/>
        </w:rPr>
        <w:tab/>
        <w:t>Section 12-67-140(C) of the 1976 Code, as added by Act 57 of 2013, is amended by adding an item at the</w:t>
      </w:r>
      <w:bookmarkStart w:id="0" w:name="temp"/>
      <w:bookmarkEnd w:id="0"/>
      <w:r w:rsidRPr="00E57271">
        <w:rPr>
          <w:u w:color="000000" w:themeColor="text1"/>
        </w:rPr>
        <w:t xml:space="preserve"> end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SECTION</w:t>
      </w:r>
      <w:r w:rsidRPr="00E57271">
        <w:rPr>
          <w:u w:color="000000" w:themeColor="text1"/>
        </w:rPr>
        <w:tab/>
        <w:t>3.</w:t>
      </w:r>
      <w:r w:rsidRPr="00E57271">
        <w:rPr>
          <w:u w:color="000000" w:themeColor="text1"/>
        </w:rPr>
        <w:tab/>
        <w:t>Section 12</w:t>
      </w:r>
      <w:r w:rsidRPr="00E57271">
        <w:rPr>
          <w:u w:color="000000" w:themeColor="text1"/>
        </w:rPr>
        <w:noBreakHyphen/>
        <w:t>6</w:t>
      </w:r>
      <w:r w:rsidRPr="00E57271">
        <w:rPr>
          <w:u w:color="000000" w:themeColor="text1"/>
        </w:rPr>
        <w:noBreakHyphen/>
        <w:t>3535(A) and (C)(1) of the 1976 Code is amended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E57271">
        <w:rPr>
          <w:u w:val="single"/>
        </w:rPr>
        <w:t>Except as provided in subsection (A)(1),</w:t>
      </w:r>
      <w:r w:rsidRPr="00E57271">
        <w:t xml:space="preserve"> t</w:t>
      </w:r>
      <w:r w:rsidRPr="00E57271">
        <w:rPr>
          <w:u w:color="000000" w:themeColor="text1"/>
        </w:rPr>
        <w: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lastRenderedPageBreak/>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Pr="00E57271">
        <w:rPr>
          <w:u w:val="single" w:color="000000" w:themeColor="text1"/>
        </w:rPr>
        <w:noBreakHyphen/>
        <w:t>five percent tax credit in lieu of the ten percent tax credit.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Pr="00E57271">
        <w:rPr>
          <w:u w:val="single" w:color="000000" w:themeColor="text1"/>
        </w:rPr>
        <w:noBreakHyphen/>
        <w:t>five percent tax credit may not claim a credit that exceeds five hundred thousand dollars for each certified historic structure. The limitation provided for in this item shall not apply to credits claimed for qualified rehabilitation expenditures related to any state owned abandoned building.</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Except for a credit claimed in connection with the rehabilitation of a state owned abandoned building,</w:t>
      </w:r>
      <w:r w:rsidRPr="00E57271">
        <w:t xml:space="preserve"> the entire credit may not be taken for the taxable year in which the property is placed in service but must be taken in equal installments over a five</w:t>
      </w:r>
      <w:r w:rsidRPr="00E57271">
        <w:noBreakHyphen/>
        <w:t xml:space="preserve">year period beginning with the year in which the property is placed in service.  </w:t>
      </w:r>
      <w:r w:rsidRPr="00E57271">
        <w:rPr>
          <w:u w:val="single"/>
        </w:rPr>
        <w:t>If the credit is claimed in connection with the rehabilitation of a state owned abandoned building, the entire credit may not be taken for the taxable year in which the property is placed in service, but, rather must be taken in equal installments over a two-year period beginning with the year in which the property is placed in service.  For purposes of this section, ‘state owned abandoned building’ has the same meaning as provided in section 12-67-120.</w:t>
      </w:r>
      <w:r w:rsidRPr="00E57271">
        <w:t xml:space="preserve">  ‘Placed in service’ means the rehabilitation is completed and allows for the intended use. Any unused portion of any credit installment may be carried forward for the succeeding five years.”</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SECTION</w:t>
      </w:r>
      <w:r w:rsidRPr="00E57271">
        <w:rPr>
          <w:u w:color="000000" w:themeColor="text1"/>
        </w:rPr>
        <w:tab/>
        <w:t>4.</w:t>
      </w:r>
      <w:r w:rsidRPr="00E57271">
        <w:rPr>
          <w:u w:color="000000" w:themeColor="text1"/>
        </w:rPr>
        <w:tab/>
        <w:t>A.</w:t>
      </w:r>
      <w:r>
        <w:rPr>
          <w:u w:color="000000" w:themeColor="text1"/>
        </w:rPr>
        <w:tab/>
      </w:r>
      <w:r w:rsidRPr="00E57271">
        <w:rPr>
          <w:u w:color="000000" w:themeColor="text1"/>
        </w:rPr>
        <w:tab/>
        <w:t>Article 25, Chapter 6, Title 12 of the 1976 Code is amended by adding:</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Pr="00E57271">
        <w:rPr>
          <w:u w:color="000000" w:themeColor="text1"/>
        </w:rPr>
        <w:noBreakHyphen/>
        <w:t>6</w:t>
      </w:r>
      <w:r w:rsidRPr="00E57271">
        <w:rPr>
          <w:u w:color="000000" w:themeColor="text1"/>
        </w:rPr>
        <w:noBreakHyphen/>
        <w:t>3586.</w:t>
      </w:r>
      <w:r w:rsidRPr="00E57271">
        <w:rPr>
          <w:u w:color="000000" w:themeColor="text1"/>
        </w:rPr>
        <w:tab/>
        <w:t>(A)</w:t>
      </w:r>
      <w:r w:rsidRPr="00E57271">
        <w:rPr>
          <w:u w:color="000000" w:themeColor="text1"/>
        </w:rPr>
        <w:tab/>
        <w:t>As used in this section:</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‘Solar energy system’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‘Department’ means the South Carolina Department of Revenue.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lastRenderedPageBreak/>
        <w:tab/>
        <w:t>(B)(1)</w:t>
      </w:r>
      <w:r w:rsidRPr="00E57271">
        <w:rPr>
          <w:u w:color="000000" w:themeColor="text1"/>
        </w:rPr>
        <w:tab/>
        <w:t>For tax years beginning after 2013 and before 2017, if a taxpayer that has constructed, purchased, or leased a nonresidential solar energy system, the taxpayer, subject to the limitations set forth in subsection (E), is allowed a credit against his tax liability equal to twenty</w:t>
      </w:r>
      <w:r w:rsidRPr="00E57271">
        <w:rPr>
          <w:u w:color="000000" w:themeColor="text1"/>
        </w:rPr>
        <w:noBreakHyphen/>
        <w:t>five percent of the cost of the system in the taxable year in which the system is placed in service.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If a taxpayer is not allowed all or part of the credit, the taxpayer would be authorized to receive, because of the limitations set forth in subsection (E), the carry forward years provided in item (1) beginning in the year in which all or part of the credit is first allowed.  However, if the credit is not allowed before tax year 2017, the taxpayer is not eligible to claim the credit.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shall not be considered a cost of the system.  The amount of any credit allowed pursuant to this section must be reduced by any credit claimed pursuant to Section 12</w:t>
      </w:r>
      <w:r w:rsidRPr="00E57271">
        <w:rPr>
          <w:u w:color="000000" w:themeColor="text1"/>
        </w:rPr>
        <w:noBreakHyphen/>
        <w:t>6</w:t>
      </w:r>
      <w:r w:rsidRPr="00E57271">
        <w:rPr>
          <w:u w:color="000000" w:themeColor="text1"/>
        </w:rPr>
        <w:noBreakHyphen/>
        <w:t>3587 or any other credit allowed pursuant to this title for the solar energy system.  Public funds does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Pr="00E57271">
        <w:rPr>
          <w:u w:color="000000" w:themeColor="text1"/>
        </w:rPr>
        <w:noBreakHyphen/>
        <w:t>half of the taxpayer’s tax liability for a taxable year.</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Pr="00E57271">
        <w:rPr>
          <w:u w:color="000000" w:themeColor="text1"/>
        </w:rPr>
        <w:noBreakHyphen/>
        <w:t xml:space="preserve">three thousand dollars for each solar energy system </w:t>
      </w:r>
      <w:r w:rsidRPr="00E57271">
        <w:rPr>
          <w:u w:color="000000" w:themeColor="text1"/>
        </w:rPr>
        <w:lastRenderedPageBreak/>
        <w:t>installation and the credit may not exceed one million dollars for any taxpayer.</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If an allocation set forth in this item is not completely exhausted, the remaining amount may be carried forward by the department to the next year and used for the same purpose, and is in addition to the aggregate amount set forth in item (1).  No amount may be carried forward by the department beyond tax year 2016.</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is in no way to imply or allow the third party sale of electricity between parties nor does this section modify the provisions of Title 58 in any way and lessee simply refers to the financial structuring of the payment for the ‘solar energy system’. </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After the system is placed in service, a taxpayer seeking to claim the credit provided in this section must submit an application to the State Energy Office for tentative approval of the credit.  Within forty</w:t>
      </w:r>
      <w:r w:rsidRPr="00E57271">
        <w:rPr>
          <w:u w:color="000000" w:themeColor="text1"/>
        </w:rPr>
        <w:noBreakHyphen/>
        <w:t>five days of receipt of the application, the State Energy Office must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lastRenderedPageBreak/>
        <w:tab/>
      </w:r>
      <w:r w:rsidRPr="00E57271">
        <w:rPr>
          <w:u w:color="000000" w:themeColor="text1"/>
        </w:rPr>
        <w:tab/>
        <w:t>(2)</w:t>
      </w:r>
      <w:r w:rsidRPr="00E57271">
        <w:rPr>
          <w:u w:color="000000" w:themeColor="text1"/>
        </w:rPr>
        <w:tab/>
        <w:t>The credit is allowed on a first</w:t>
      </w:r>
      <w:r w:rsidRPr="00E57271">
        <w:rPr>
          <w:u w:color="000000" w:themeColor="text1"/>
        </w:rPr>
        <w:noBreakHyphen/>
        <w:t>come, first</w:t>
      </w:r>
      <w:r w:rsidRPr="00E57271">
        <w:rPr>
          <w:u w:color="000000" w:themeColor="text1"/>
        </w:rPr>
        <w:noBreakHyphen/>
        <w:t>serve basis. In no event shall the aggregate amount of tax credits approved by the State Energy Office for all taxpayers in a taxable year exceed the limitations specified in subsection (E). For tax years 2014 and 2015, in the event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There is a nonrefundable application fee equal to one percent of the credit applied for, but no more than two thousand five hundred dollars.  The fee must accompany the application.  The fee shall be credited to the State Energy Office and shall be used to meet the requirements of this section.</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taxpayer’s tax liability may be reduced.  With regard to the sale or exchange of a credit allowed pursuant to this section, general income tax principles apply for purposes of the state income tax.</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2015, and by June first each year thereafter, the State Energy Office shall prepare a report detailing:</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lastRenderedPageBreak/>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the number of taxpayers eligible for the credit, but placed on the waiting list due to the limitations set forth in subsection (E).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The report shall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B.</w:t>
      </w:r>
      <w:r w:rsidRPr="00E57271">
        <w:rPr>
          <w:u w:color="000000" w:themeColor="text1"/>
        </w:rPr>
        <w:tab/>
      </w:r>
      <w:r w:rsidRPr="00E57271">
        <w:rPr>
          <w:u w:color="000000" w:themeColor="text1"/>
        </w:rPr>
        <w:tab/>
        <w:t>This SECTION applies to solar energy systems placed in service in taxable years beginning after 2013 and before 2017.</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SECTION</w:t>
      </w:r>
      <w:r w:rsidRPr="00E57271">
        <w:rPr>
          <w:u w:color="000000" w:themeColor="text1"/>
        </w:rPr>
        <w:tab/>
        <w:t>5.</w:t>
      </w:r>
      <w:r w:rsidRPr="00E57271">
        <w:rPr>
          <w:u w:color="000000" w:themeColor="text1"/>
        </w:rPr>
        <w:tab/>
        <w:t>A.</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3587(A) of the 1976 Code is amended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Pr="00E57271">
        <w:noBreakHyphen/>
        <w:t>five percent of the costs incurred by the taxpayer in the purchase and installation of a solar energy system or small hydropower system for heating water, space heating, air cooling, energy</w:t>
      </w:r>
      <w:r w:rsidRPr="00E57271">
        <w:noBreakHyphen/>
        <w:t>efficient daylighting, heat reclamation, energy</w:t>
      </w:r>
      <w:r w:rsidRPr="00E57271">
        <w:noBreakHyphen/>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or not the owner</w:t>
      </w:r>
      <w:r w:rsidRPr="00E57271">
        <w:rPr>
          <w:u w:val="single"/>
        </w:rPr>
        <w:noBreakHyphen/>
        <w:t>taxpayer occupies the installation site.</w:t>
      </w:r>
      <w:r w:rsidRPr="00E57271">
        <w:t xml:space="preserve">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B.</w:t>
      </w:r>
      <w:r w:rsidRPr="00E57271">
        <w:rPr>
          <w:u w:color="000000" w:themeColor="text1"/>
        </w:rPr>
        <w:tab/>
      </w:r>
      <w:r w:rsidRPr="00E57271">
        <w:rPr>
          <w:u w:color="000000" w:themeColor="text1"/>
        </w:rPr>
        <w:tab/>
        <w:t>Section 12</w:t>
      </w:r>
      <w:r w:rsidRPr="00E57271">
        <w:rPr>
          <w:u w:color="000000" w:themeColor="text1"/>
        </w:rPr>
        <w:noBreakHyphen/>
        <w:t>6</w:t>
      </w:r>
      <w:r w:rsidRPr="00E57271">
        <w:rPr>
          <w:u w:color="000000" w:themeColor="text1"/>
        </w:rPr>
        <w:noBreakHyphen/>
        <w:t>3587 of the 1976 Code is amended by adding a subsection at the end to read:</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lastRenderedPageBreak/>
        <w:tab/>
        <w:t>“(D)</w:t>
      </w:r>
      <w:r w:rsidRPr="00E57271">
        <w:rPr>
          <w:u w:color="000000" w:themeColor="text1"/>
        </w:rPr>
        <w:tab/>
        <w:t>With respect to solar energy systems, this section only applies to a system placed in service after tax year 2005 and before tax year 2017.”</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7271">
        <w:rPr>
          <w:u w:color="000000" w:themeColor="text1"/>
        </w:rPr>
        <w:t>SECTION</w:t>
      </w:r>
      <w:r w:rsidRPr="00E57271">
        <w:rPr>
          <w:u w:color="000000" w:themeColor="text1"/>
        </w:rPr>
        <w:tab/>
        <w:t>6.</w:t>
      </w:r>
      <w:r w:rsidRPr="00E57271">
        <w:rPr>
          <w:u w:color="000000" w:themeColor="text1"/>
        </w:rPr>
        <w:tab/>
        <w:t>Unless specified otherwise, this act takes effect upon approval by the Governor and applies for tax years beginning after 2013.  The provisions of Section 1B of Act 57 of 2013 apply to the provisions of Sections 12</w:t>
      </w:r>
      <w:r w:rsidRPr="00E57271">
        <w:rPr>
          <w:u w:color="000000" w:themeColor="text1"/>
        </w:rPr>
        <w:noBreakHyphen/>
        <w:t>67</w:t>
      </w:r>
      <w:r w:rsidRPr="00E57271">
        <w:rPr>
          <w:u w:color="000000" w:themeColor="text1"/>
        </w:rPr>
        <w:noBreakHyphen/>
        <w:t>120 and 12</w:t>
      </w:r>
      <w:r w:rsidRPr="00E57271">
        <w:rPr>
          <w:u w:color="000000" w:themeColor="text1"/>
        </w:rPr>
        <w:noBreakHyphen/>
        <w:t>67</w:t>
      </w:r>
      <w:r w:rsidRPr="00E57271">
        <w:rPr>
          <w:u w:color="000000" w:themeColor="text1"/>
        </w:rPr>
        <w:noBreakHyphen/>
        <w:t>140 of the 1976 Code as amended by this act.</w:t>
      </w:r>
      <w:r w:rsidRPr="00E57271">
        <w:rPr>
          <w:u w:color="000000" w:themeColor="text1"/>
        </w:rPr>
        <w:tab/>
      </w:r>
      <w:r w:rsidRPr="00E57271">
        <w:rPr>
          <w:u w:color="000000" w:themeColor="text1"/>
        </w:rPr>
        <w:tab/>
        <w:t>/</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271">
        <w:t>Renumber sections to conform.</w:t>
      </w:r>
    </w:p>
    <w:p w:rsidR="00F57EED"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57271">
        <w:t>Amend title to conform.</w:t>
      </w:r>
    </w:p>
    <w:p w:rsidR="00F57EED" w:rsidRPr="00E57271"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EED" w:rsidRDefault="00F57EED" w:rsidP="00BB0D7A">
      <w:pPr>
        <w:pStyle w:val="BillDots0"/>
      </w:pPr>
      <w:r>
        <w:t>W. BRIAN WHITE for Committee.</w:t>
      </w:r>
    </w:p>
    <w:p w:rsidR="00F57EED" w:rsidRPr="00F57EED" w:rsidRDefault="00F57EED" w:rsidP="00F57EED">
      <w:pPr>
        <w:pStyle w:val="BillDots0"/>
        <w:jc w:val="center"/>
      </w:pPr>
      <w:r>
        <w:rPr>
          <w:u w:val="single"/>
        </w:rPr>
        <w:t>            </w:t>
      </w:r>
    </w:p>
    <w:p w:rsidR="00826899" w:rsidRDefault="00826899" w:rsidP="00BB0D7A">
      <w:pPr>
        <w:pStyle w:val="BillDots0"/>
      </w:pPr>
    </w:p>
    <w:p w:rsidR="00F57EED" w:rsidRPr="00F57EED" w:rsidRDefault="00F57EED" w:rsidP="00F57EED">
      <w:pPr>
        <w:pStyle w:val="BillDots0"/>
        <w:jc w:val="center"/>
      </w:pPr>
      <w:r>
        <w:rPr>
          <w:b/>
          <w:u w:val="single"/>
        </w:rPr>
        <w:t>STATEMENT OF ESTIMATED FISCAL IMPACT</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0440F">
        <w:rPr>
          <w:b/>
          <w:szCs w:val="22"/>
        </w:rPr>
        <w:t xml:space="preserve">REVENUE IMPACT </w:t>
      </w:r>
      <w:r w:rsidRPr="0080440F">
        <w:rPr>
          <w:b/>
          <w:szCs w:val="22"/>
          <w:vertAlign w:val="superscript"/>
        </w:rPr>
        <w:t>1/</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 xml:space="preserve">This bill, as amended, is expected to reduce </w:t>
      </w:r>
      <w:r>
        <w:rPr>
          <w:szCs w:val="22"/>
        </w:rPr>
        <w:t>g</w:t>
      </w:r>
      <w:r w:rsidRPr="0080440F">
        <w:rPr>
          <w:szCs w:val="22"/>
        </w:rPr>
        <w:t xml:space="preserve">eneral </w:t>
      </w:r>
      <w:r>
        <w:rPr>
          <w:szCs w:val="22"/>
        </w:rPr>
        <w:t>f</w:t>
      </w:r>
      <w:r w:rsidRPr="0080440F">
        <w:rPr>
          <w:szCs w:val="22"/>
        </w:rPr>
        <w:t>und individual income tax, corporate income tax, bank tax, savings and loan tax, or corporate license fee revenue by an estimated $13,300,000 in FY2014-15 and by an estimated $13,300,000 in FY2015-16.</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80440F">
        <w:rPr>
          <w:rFonts w:ascii="Times New Roman" w:hAnsi="Times New Roman"/>
          <w:b/>
          <w:sz w:val="22"/>
          <w:szCs w:val="22"/>
        </w:rPr>
        <w:t>Explanation of Amendment (May 8, 2014) – House Sales &amp; Income Tax Subcommittee</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0440F">
        <w:rPr>
          <w:rFonts w:ascii="Times New Roman" w:hAnsi="Times New Roman"/>
          <w:sz w:val="22"/>
          <w:szCs w:val="22"/>
        </w:rPr>
        <w:t>The South Carolina Abandoned Buildings Revitalization Act was enacted in Act 57 of 2013 and effective beginning June 11, 2013. This amendment would strike all after the enacting words in S.B.234 and amend language to insert the following changes to Act 57 of 2013:</w:t>
      </w:r>
    </w:p>
    <w:p w:rsidR="00F57EED" w:rsidRPr="0080440F" w:rsidRDefault="00B27952" w:rsidP="00B2795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ascii="Times New Roman" w:hAnsi="Times New Roman"/>
          <w:sz w:val="22"/>
          <w:szCs w:val="22"/>
        </w:rPr>
      </w:pPr>
      <w:r w:rsidRPr="0080440F">
        <w:rPr>
          <w:rFonts w:ascii="Symbol" w:hAnsi="Symbol"/>
          <w:sz w:val="22"/>
          <w:szCs w:val="22"/>
        </w:rPr>
        <w:t></w:t>
      </w:r>
      <w:r w:rsidRPr="0080440F">
        <w:rPr>
          <w:rFonts w:ascii="Symbol" w:hAnsi="Symbol"/>
          <w:sz w:val="22"/>
          <w:szCs w:val="22"/>
        </w:rPr>
        <w:tab/>
      </w:r>
      <w:r w:rsidR="00F57EED" w:rsidRPr="0080440F">
        <w:rPr>
          <w:rFonts w:ascii="Times New Roman" w:hAnsi="Times New Roman"/>
          <w:sz w:val="22"/>
          <w:szCs w:val="22"/>
        </w:rPr>
        <w:t>The amendment would add subitem (8) to Section 12-67-120 to define a “state-owned abandoned building” to include an abandoned building and its ancillary service buildings, the combined square footage of which is greater than 150,000 square feet, that has been abandoned for more than ten years, and was most recently owned by the state, or an agency, instrumentality, or political subdivision of the state.</w:t>
      </w:r>
    </w:p>
    <w:p w:rsidR="00F57EED" w:rsidRPr="0080440F" w:rsidRDefault="00B27952" w:rsidP="00B2795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ascii="Times New Roman" w:hAnsi="Times New Roman"/>
          <w:sz w:val="22"/>
          <w:szCs w:val="22"/>
        </w:rPr>
      </w:pPr>
      <w:r w:rsidRPr="0080440F">
        <w:rPr>
          <w:rFonts w:ascii="Symbol" w:hAnsi="Symbol"/>
          <w:sz w:val="22"/>
          <w:szCs w:val="22"/>
        </w:rPr>
        <w:t></w:t>
      </w:r>
      <w:r w:rsidRPr="0080440F">
        <w:rPr>
          <w:rFonts w:ascii="Symbol" w:hAnsi="Symbol"/>
          <w:sz w:val="22"/>
          <w:szCs w:val="22"/>
        </w:rPr>
        <w:tab/>
      </w:r>
      <w:r w:rsidR="00F57EED" w:rsidRPr="0080440F">
        <w:rPr>
          <w:rFonts w:ascii="Times New Roman" w:hAnsi="Times New Roman"/>
          <w:sz w:val="22"/>
          <w:szCs w:val="22"/>
        </w:rPr>
        <w:t>This amendment would amend Section 12-67-140(B)(3) to allow a credit earned in connection with a state-owned abandoned building to be claimed over a two year period instead of over a five year period for other qualified abandoned buildings. This provision would accelerate the use of the tax credit.</w:t>
      </w:r>
    </w:p>
    <w:p w:rsidR="00F57EED" w:rsidRPr="0080440F" w:rsidRDefault="00B27952" w:rsidP="00B2795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ascii="Times New Roman" w:hAnsi="Times New Roman"/>
          <w:sz w:val="22"/>
          <w:szCs w:val="22"/>
        </w:rPr>
      </w:pPr>
      <w:r w:rsidRPr="0080440F">
        <w:rPr>
          <w:rFonts w:ascii="Symbol" w:hAnsi="Symbol"/>
          <w:sz w:val="22"/>
          <w:szCs w:val="22"/>
        </w:rPr>
        <w:t></w:t>
      </w:r>
      <w:r w:rsidRPr="0080440F">
        <w:rPr>
          <w:rFonts w:ascii="Symbol" w:hAnsi="Symbol"/>
          <w:sz w:val="22"/>
          <w:szCs w:val="22"/>
        </w:rPr>
        <w:tab/>
      </w:r>
      <w:r w:rsidR="00F57EED" w:rsidRPr="0080440F">
        <w:rPr>
          <w:rFonts w:ascii="Times New Roman" w:hAnsi="Times New Roman"/>
          <w:sz w:val="22"/>
          <w:szCs w:val="22"/>
        </w:rPr>
        <w:t xml:space="preserve">This amendment would remove the $500,000 maximum </w:t>
      </w:r>
      <w:r w:rsidR="00F57EED" w:rsidRPr="0080440F">
        <w:rPr>
          <w:rFonts w:ascii="Times New Roman" w:hAnsi="Times New Roman"/>
          <w:sz w:val="22"/>
          <w:szCs w:val="22"/>
        </w:rPr>
        <w:lastRenderedPageBreak/>
        <w:t>credit allowed for any taxpayer in a single tax year for each abandoned building site. The $500,000 maximum credit limitation would not apply to any state-owned abandoned buildings.</w:t>
      </w:r>
    </w:p>
    <w:p w:rsidR="00F57EED" w:rsidRPr="0080440F" w:rsidRDefault="00B27952" w:rsidP="00B2795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ascii="Times New Roman" w:hAnsi="Times New Roman"/>
          <w:sz w:val="22"/>
          <w:szCs w:val="22"/>
        </w:rPr>
      </w:pPr>
      <w:r w:rsidRPr="0080440F">
        <w:rPr>
          <w:rFonts w:ascii="Symbol" w:hAnsi="Symbol"/>
          <w:sz w:val="22"/>
          <w:szCs w:val="22"/>
        </w:rPr>
        <w:t></w:t>
      </w:r>
      <w:r w:rsidRPr="0080440F">
        <w:rPr>
          <w:rFonts w:ascii="Symbol" w:hAnsi="Symbol"/>
          <w:sz w:val="22"/>
          <w:szCs w:val="22"/>
        </w:rPr>
        <w:tab/>
      </w:r>
      <w:r w:rsidR="00F57EED" w:rsidRPr="0080440F">
        <w:rPr>
          <w:rFonts w:ascii="Times New Roman" w:hAnsi="Times New Roman"/>
          <w:sz w:val="22"/>
          <w:szCs w:val="22"/>
        </w:rPr>
        <w:t>This amendment would amend Section 12-6-3535 to allow a taxpayer who is allowed a federal income tax credit pursuant to IRS Code Section 47 to elect a twenty-five percent tax credit instead of the current ten percent tax credit. Also, if a taxpayer elects the twenty-five percent tax credit, the $500,000 maximum tax credit limitation for each certified historic structure would not apply to any state-owned abandoned buildings.</w:t>
      </w:r>
    </w:p>
    <w:p w:rsidR="00F57EED" w:rsidRPr="0080440F" w:rsidRDefault="00B27952" w:rsidP="00B27952">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ascii="Times New Roman" w:hAnsi="Times New Roman"/>
          <w:sz w:val="22"/>
          <w:szCs w:val="22"/>
        </w:rPr>
      </w:pPr>
      <w:r w:rsidRPr="0080440F">
        <w:rPr>
          <w:rFonts w:ascii="Symbol" w:hAnsi="Symbol"/>
          <w:sz w:val="22"/>
          <w:szCs w:val="22"/>
        </w:rPr>
        <w:t></w:t>
      </w:r>
      <w:r w:rsidRPr="0080440F">
        <w:rPr>
          <w:rFonts w:ascii="Symbol" w:hAnsi="Symbol"/>
          <w:sz w:val="22"/>
          <w:szCs w:val="22"/>
        </w:rPr>
        <w:tab/>
      </w:r>
      <w:r w:rsidR="00F57EED" w:rsidRPr="0080440F">
        <w:rPr>
          <w:rFonts w:ascii="Times New Roman" w:hAnsi="Times New Roman"/>
          <w:sz w:val="22"/>
          <w:szCs w:val="22"/>
        </w:rPr>
        <w:t>This amendment would amend Section 12-6-3535(C)(1) to allow a credit earned in connection with a state-owned certified historic building to be claimed over a two year period instead of over a five year period for other qualified certified historic  buildings. This provision would accelerate the use of the tax credit.</w:t>
      </w:r>
    </w:p>
    <w:p w:rsidR="00F57EED" w:rsidRPr="008B2E1E" w:rsidRDefault="00F57EED" w:rsidP="00F57EED">
      <w:pPr>
        <w:jc w:val="left"/>
        <w:rPr>
          <w:b/>
          <w:bCs/>
          <w:color w:val="000000"/>
          <w:sz w:val="16"/>
          <w:szCs w:val="16"/>
        </w:rPr>
      </w:pPr>
      <w:r w:rsidRPr="008B2E1E">
        <w:rPr>
          <w:b/>
          <w:bCs/>
          <w:color w:val="000000"/>
          <w:sz w:val="16"/>
          <w:szCs w:val="16"/>
        </w:rPr>
        <w:t>Table 1. Analysis of Abandoned Building and Certified Historic St</w:t>
      </w:r>
      <w:r w:rsidR="008B0C3A">
        <w:rPr>
          <w:b/>
          <w:bCs/>
          <w:color w:val="000000"/>
          <w:sz w:val="16"/>
          <w:szCs w:val="16"/>
        </w:rPr>
        <w:t>r</w:t>
      </w:r>
      <w:r w:rsidRPr="008B2E1E">
        <w:rPr>
          <w:b/>
          <w:bCs/>
          <w:color w:val="000000"/>
          <w:sz w:val="16"/>
          <w:szCs w:val="16"/>
        </w:rPr>
        <w:t>ucture Tax Credits</w:t>
      </w:r>
    </w:p>
    <w:p w:rsidR="00F57EED" w:rsidRPr="008B2E1E" w:rsidRDefault="00F57EED" w:rsidP="00F57EED">
      <w:pPr>
        <w:jc w:val="left"/>
        <w:rPr>
          <w:b/>
          <w:bCs/>
          <w:color w:val="000000"/>
          <w:sz w:val="16"/>
          <w:szCs w:val="16"/>
        </w:rPr>
      </w:pPr>
      <w:r w:rsidRPr="008B2E1E">
        <w:rPr>
          <w:b/>
          <w:bCs/>
          <w:color w:val="000000"/>
          <w:sz w:val="16"/>
          <w:szCs w:val="16"/>
        </w:rPr>
        <w:t>Proposed $60,000,000 Rehabilitation Project</w:t>
      </w:r>
    </w:p>
    <w:p w:rsidR="00F57EED" w:rsidRPr="008B2E1E" w:rsidRDefault="00F57EED" w:rsidP="00F57EED">
      <w:pPr>
        <w:tabs>
          <w:tab w:val="left" w:pos="1440"/>
        </w:tabs>
        <w:jc w:val="left"/>
        <w:rPr>
          <w:b/>
          <w:bCs/>
          <w:color w:val="000000"/>
          <w:sz w:val="16"/>
          <w:szCs w:val="16"/>
          <w:u w:val="single"/>
        </w:rPr>
      </w:pPr>
      <w:r>
        <w:rPr>
          <w:b/>
          <w:bCs/>
          <w:color w:val="000000"/>
          <w:sz w:val="16"/>
          <w:szCs w:val="16"/>
        </w:rPr>
        <w:tab/>
      </w:r>
      <w:r w:rsidRPr="008B2E1E">
        <w:rPr>
          <w:b/>
          <w:bCs/>
          <w:color w:val="000000"/>
          <w:sz w:val="16"/>
          <w:szCs w:val="16"/>
          <w:u w:val="single"/>
        </w:rPr>
        <w:tab/>
        <w:t>Abandoned Buildings Revitalization Tax Credit</w:t>
      </w:r>
    </w:p>
    <w:p w:rsidR="00F57EED" w:rsidRPr="008B2E1E" w:rsidRDefault="00F57EED" w:rsidP="004777E8">
      <w:pPr>
        <w:tabs>
          <w:tab w:val="left" w:pos="180"/>
          <w:tab w:val="left" w:pos="1440"/>
          <w:tab w:val="left" w:pos="2340"/>
          <w:tab w:val="left" w:pos="3240"/>
          <w:tab w:val="left" w:pos="4140"/>
          <w:tab w:val="left" w:pos="5130"/>
        </w:tabs>
        <w:jc w:val="left"/>
        <w:rPr>
          <w:b/>
          <w:bCs/>
          <w:color w:val="000000"/>
          <w:sz w:val="16"/>
          <w:szCs w:val="16"/>
        </w:rPr>
      </w:pPr>
      <w:r w:rsidRPr="008B2E1E">
        <w:rPr>
          <w:color w:val="000000"/>
          <w:sz w:val="16"/>
          <w:szCs w:val="16"/>
        </w:rPr>
        <w:t> </w:t>
      </w:r>
      <w:r w:rsidRPr="008B2E1E">
        <w:rPr>
          <w:color w:val="000000"/>
          <w:sz w:val="16"/>
          <w:szCs w:val="16"/>
        </w:rPr>
        <w:tab/>
      </w:r>
      <w:r w:rsidRPr="008B2E1E">
        <w:rPr>
          <w:color w:val="000000"/>
          <w:sz w:val="16"/>
          <w:szCs w:val="16"/>
        </w:rPr>
        <w:tab/>
      </w:r>
      <w:r w:rsidRPr="008B2E1E">
        <w:rPr>
          <w:b/>
          <w:bCs/>
          <w:color w:val="000000"/>
          <w:sz w:val="16"/>
          <w:szCs w:val="16"/>
        </w:rPr>
        <w:t>Year 1</w:t>
      </w:r>
      <w:r w:rsidRPr="008B2E1E">
        <w:rPr>
          <w:b/>
          <w:bCs/>
          <w:color w:val="000000"/>
          <w:sz w:val="16"/>
          <w:szCs w:val="16"/>
        </w:rPr>
        <w:tab/>
        <w:t>Year 2</w:t>
      </w:r>
      <w:r w:rsidRPr="008B2E1E">
        <w:rPr>
          <w:b/>
          <w:bCs/>
          <w:color w:val="000000"/>
          <w:sz w:val="16"/>
          <w:szCs w:val="16"/>
        </w:rPr>
        <w:tab/>
        <w:t>Year 3</w:t>
      </w:r>
      <w:r w:rsidRPr="008B2E1E">
        <w:rPr>
          <w:b/>
          <w:bCs/>
          <w:color w:val="000000"/>
          <w:sz w:val="16"/>
          <w:szCs w:val="16"/>
        </w:rPr>
        <w:tab/>
        <w:t>Year 4</w:t>
      </w:r>
      <w:r w:rsidRPr="008B2E1E">
        <w:rPr>
          <w:b/>
          <w:bCs/>
          <w:color w:val="000000"/>
          <w:sz w:val="16"/>
          <w:szCs w:val="16"/>
        </w:rPr>
        <w:tab/>
        <w:t>Year 5</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Current</w:t>
      </w:r>
      <w:r w:rsidRPr="008B2E1E">
        <w:rPr>
          <w:b/>
          <w:bCs/>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t> </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State (25%) 1/</w:t>
      </w:r>
      <w:r w:rsidRPr="008B2E1E">
        <w:rPr>
          <w:b/>
          <w:bCs/>
          <w:color w:val="000000"/>
          <w:sz w:val="16"/>
          <w:szCs w:val="16"/>
        </w:rPr>
        <w:tab/>
      </w:r>
      <w:r w:rsidRPr="008B2E1E">
        <w:rPr>
          <w:color w:val="000000"/>
          <w:sz w:val="16"/>
          <w:szCs w:val="16"/>
        </w:rPr>
        <w:t>$3,000,000</w:t>
      </w:r>
      <w:r w:rsidRPr="008B2E1E">
        <w:rPr>
          <w:color w:val="000000"/>
          <w:sz w:val="16"/>
          <w:szCs w:val="16"/>
        </w:rPr>
        <w:tab/>
        <w:t>$3,000,000</w:t>
      </w:r>
      <w:r w:rsidRPr="008B2E1E">
        <w:rPr>
          <w:color w:val="000000"/>
          <w:sz w:val="16"/>
          <w:szCs w:val="16"/>
        </w:rPr>
        <w:tab/>
        <w:t>$3,000,000</w:t>
      </w:r>
      <w:r w:rsidRPr="008B2E1E">
        <w:rPr>
          <w:color w:val="000000"/>
          <w:sz w:val="16"/>
          <w:szCs w:val="16"/>
        </w:rPr>
        <w:tab/>
        <w:t>$3,000,000</w:t>
      </w:r>
      <w:r w:rsidRPr="008B2E1E">
        <w:rPr>
          <w:color w:val="000000"/>
          <w:sz w:val="16"/>
          <w:szCs w:val="16"/>
        </w:rPr>
        <w:tab/>
        <w:t>$3,000,000</w:t>
      </w:r>
    </w:p>
    <w:p w:rsidR="00F57EED" w:rsidRPr="00B273B8" w:rsidRDefault="00F57EED" w:rsidP="004777E8">
      <w:pPr>
        <w:tabs>
          <w:tab w:val="left" w:pos="180"/>
          <w:tab w:val="left" w:pos="1440"/>
          <w:tab w:val="left" w:pos="2340"/>
          <w:tab w:val="left" w:pos="3240"/>
          <w:tab w:val="left" w:pos="4140"/>
          <w:tab w:val="left" w:pos="5130"/>
        </w:tabs>
        <w:jc w:val="left"/>
        <w:rPr>
          <w:b/>
          <w:bCs/>
          <w:sz w:val="16"/>
          <w:szCs w:val="16"/>
        </w:rPr>
      </w:pPr>
      <w:r w:rsidRPr="008B2E1E">
        <w:rPr>
          <w:b/>
          <w:bCs/>
          <w:color w:val="000000"/>
          <w:sz w:val="16"/>
          <w:szCs w:val="16"/>
        </w:rPr>
        <w:t> </w:t>
      </w:r>
      <w:r w:rsidRPr="008B2E1E">
        <w:rPr>
          <w:b/>
          <w:bCs/>
          <w:color w:val="000000"/>
          <w:sz w:val="16"/>
          <w:szCs w:val="16"/>
        </w:rPr>
        <w:tab/>
      </w:r>
      <w:r w:rsidRPr="00B273B8">
        <w:rPr>
          <w:b/>
          <w:bCs/>
          <w:sz w:val="16"/>
          <w:szCs w:val="16"/>
        </w:rPr>
        <w:t>Limitation 2/</w:t>
      </w:r>
      <w:r w:rsidRPr="00B273B8">
        <w:rPr>
          <w:b/>
          <w:bCs/>
          <w:sz w:val="16"/>
          <w:szCs w:val="16"/>
        </w:rPr>
        <w:tab/>
        <w:t>$500,000</w:t>
      </w:r>
      <w:r w:rsidRPr="00B273B8">
        <w:rPr>
          <w:b/>
          <w:bCs/>
          <w:sz w:val="16"/>
          <w:szCs w:val="16"/>
        </w:rPr>
        <w:tab/>
        <w:t>$500,000</w:t>
      </w:r>
      <w:r w:rsidRPr="00B273B8">
        <w:rPr>
          <w:b/>
          <w:bCs/>
          <w:sz w:val="16"/>
          <w:szCs w:val="16"/>
        </w:rPr>
        <w:tab/>
        <w:t>$500,000</w:t>
      </w:r>
      <w:r w:rsidRPr="00B273B8">
        <w:rPr>
          <w:b/>
          <w:bCs/>
          <w:sz w:val="16"/>
          <w:szCs w:val="16"/>
        </w:rPr>
        <w:tab/>
        <w:t>$500,000</w:t>
      </w:r>
      <w:r w:rsidRPr="00B273B8">
        <w:rPr>
          <w:b/>
          <w:bCs/>
          <w:sz w:val="16"/>
          <w:szCs w:val="16"/>
        </w:rPr>
        <w:tab/>
        <w:t>$500,000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Amendment</w:t>
      </w:r>
      <w:r w:rsidRPr="008B2E1E">
        <w:rPr>
          <w:b/>
          <w:bCs/>
          <w:color w:val="000000"/>
          <w:sz w:val="16"/>
          <w:szCs w:val="16"/>
        </w:rPr>
        <w:tab/>
      </w:r>
      <w:r w:rsidRPr="008B2E1E">
        <w:rPr>
          <w:color w:val="000000"/>
          <w:sz w:val="16"/>
          <w:szCs w:val="16"/>
        </w:rPr>
        <w:t>$7,500,000</w:t>
      </w:r>
      <w:r w:rsidRPr="008B2E1E">
        <w:rPr>
          <w:color w:val="000000"/>
          <w:sz w:val="16"/>
          <w:szCs w:val="16"/>
        </w:rPr>
        <w:tab/>
        <w:t>$7,500,000</w:t>
      </w:r>
      <w:r w:rsidRPr="008B2E1E">
        <w:rPr>
          <w:color w:val="000000"/>
          <w:sz w:val="16"/>
          <w:szCs w:val="16"/>
        </w:rPr>
        <w:tab/>
        <w:t>$0</w:t>
      </w:r>
      <w:r w:rsidRPr="008B2E1E">
        <w:rPr>
          <w:color w:val="000000"/>
          <w:sz w:val="16"/>
          <w:szCs w:val="16"/>
        </w:rPr>
        <w:tab/>
        <w:t>$0</w:t>
      </w:r>
      <w:r w:rsidRPr="008B2E1E">
        <w:rPr>
          <w:color w:val="000000"/>
          <w:sz w:val="16"/>
          <w:szCs w:val="16"/>
        </w:rPr>
        <w:tab/>
        <w:t>$0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Difference</w:t>
      </w:r>
      <w:r w:rsidRPr="008B2E1E">
        <w:rPr>
          <w:b/>
          <w:bCs/>
          <w:color w:val="000000"/>
          <w:sz w:val="16"/>
          <w:szCs w:val="16"/>
        </w:rPr>
        <w:tab/>
      </w:r>
      <w:r w:rsidRPr="008B2E1E">
        <w:rPr>
          <w:color w:val="000000"/>
          <w:sz w:val="16"/>
          <w:szCs w:val="16"/>
        </w:rPr>
        <w:t>$7,000,000</w:t>
      </w:r>
      <w:r w:rsidRPr="008B2E1E">
        <w:rPr>
          <w:color w:val="000000"/>
          <w:sz w:val="16"/>
          <w:szCs w:val="16"/>
        </w:rPr>
        <w:tab/>
        <w:t>$7,000,000</w:t>
      </w:r>
      <w:r w:rsidRPr="008B2E1E">
        <w:rPr>
          <w:color w:val="000000"/>
          <w:sz w:val="16"/>
          <w:szCs w:val="16"/>
        </w:rPr>
        <w:tab/>
        <w:t>-$500,000</w:t>
      </w:r>
      <w:r w:rsidRPr="008B2E1E">
        <w:rPr>
          <w:color w:val="000000"/>
          <w:sz w:val="16"/>
          <w:szCs w:val="16"/>
        </w:rPr>
        <w:tab/>
        <w:t>-$500,000</w:t>
      </w:r>
      <w:r w:rsidRPr="008B2E1E">
        <w:rPr>
          <w:color w:val="000000"/>
          <w:sz w:val="16"/>
          <w:szCs w:val="16"/>
        </w:rPr>
        <w:tab/>
        <w:t>-$500,000</w:t>
      </w:r>
    </w:p>
    <w:p w:rsidR="00F57EED" w:rsidRPr="008B2E1E" w:rsidRDefault="00F57EED" w:rsidP="004777E8">
      <w:pPr>
        <w:tabs>
          <w:tab w:val="left" w:pos="180"/>
          <w:tab w:val="left" w:pos="1440"/>
          <w:tab w:val="left" w:pos="2340"/>
          <w:tab w:val="left" w:pos="3240"/>
          <w:tab w:val="left" w:pos="4140"/>
          <w:tab w:val="left" w:pos="5130"/>
        </w:tabs>
        <w:jc w:val="left"/>
        <w:rPr>
          <w:b/>
          <w:bCs/>
          <w:color w:val="000000"/>
          <w:sz w:val="16"/>
          <w:szCs w:val="16"/>
          <w:u w:val="single"/>
        </w:rPr>
      </w:pPr>
      <w:r>
        <w:rPr>
          <w:b/>
          <w:bCs/>
          <w:color w:val="000000"/>
          <w:sz w:val="16"/>
          <w:szCs w:val="16"/>
        </w:rPr>
        <w:tab/>
      </w:r>
      <w:r>
        <w:rPr>
          <w:b/>
          <w:bCs/>
          <w:color w:val="000000"/>
          <w:sz w:val="16"/>
          <w:szCs w:val="16"/>
        </w:rPr>
        <w:tab/>
      </w:r>
      <w:r w:rsidRPr="008B2E1E">
        <w:rPr>
          <w:b/>
          <w:bCs/>
          <w:color w:val="000000"/>
          <w:sz w:val="16"/>
          <w:szCs w:val="16"/>
          <w:u w:val="single"/>
        </w:rPr>
        <w:t>Tax Credit for a Certified Historic Structure</w:t>
      </w:r>
    </w:p>
    <w:p w:rsidR="00F57EED" w:rsidRPr="008B2E1E" w:rsidRDefault="00F57EED" w:rsidP="004777E8">
      <w:pPr>
        <w:tabs>
          <w:tab w:val="left" w:pos="180"/>
          <w:tab w:val="left" w:pos="1440"/>
          <w:tab w:val="left" w:pos="2340"/>
          <w:tab w:val="left" w:pos="3240"/>
          <w:tab w:val="left" w:pos="4140"/>
          <w:tab w:val="left" w:pos="5130"/>
        </w:tabs>
        <w:jc w:val="left"/>
        <w:rPr>
          <w:b/>
          <w:bCs/>
          <w:color w:val="000000"/>
          <w:sz w:val="16"/>
          <w:szCs w:val="16"/>
        </w:rPr>
      </w:pPr>
      <w:r w:rsidRPr="008B2E1E">
        <w:rPr>
          <w:b/>
          <w:bCs/>
          <w:color w:val="000000"/>
          <w:sz w:val="16"/>
          <w:szCs w:val="16"/>
        </w:rPr>
        <w:t> </w:t>
      </w:r>
      <w:r w:rsidRPr="008B2E1E">
        <w:rPr>
          <w:b/>
          <w:bCs/>
          <w:color w:val="000000"/>
          <w:sz w:val="16"/>
          <w:szCs w:val="16"/>
        </w:rPr>
        <w:tab/>
      </w:r>
      <w:r w:rsidRPr="008B2E1E">
        <w:rPr>
          <w:b/>
          <w:bCs/>
          <w:color w:val="000000"/>
          <w:sz w:val="16"/>
          <w:szCs w:val="16"/>
        </w:rPr>
        <w:tab/>
        <w:t>Year 1</w:t>
      </w:r>
      <w:r w:rsidRPr="008B2E1E">
        <w:rPr>
          <w:b/>
          <w:bCs/>
          <w:color w:val="000000"/>
          <w:sz w:val="16"/>
          <w:szCs w:val="16"/>
        </w:rPr>
        <w:tab/>
        <w:t>Year 2</w:t>
      </w:r>
      <w:r w:rsidRPr="008B2E1E">
        <w:rPr>
          <w:b/>
          <w:bCs/>
          <w:color w:val="000000"/>
          <w:sz w:val="16"/>
          <w:szCs w:val="16"/>
        </w:rPr>
        <w:tab/>
        <w:t>Year 3</w:t>
      </w:r>
      <w:r w:rsidRPr="008B2E1E">
        <w:rPr>
          <w:b/>
          <w:bCs/>
          <w:color w:val="000000"/>
          <w:sz w:val="16"/>
          <w:szCs w:val="16"/>
        </w:rPr>
        <w:tab/>
        <w:t>Year 4</w:t>
      </w:r>
      <w:r w:rsidRPr="008B2E1E">
        <w:rPr>
          <w:b/>
          <w:bCs/>
          <w:color w:val="000000"/>
          <w:sz w:val="16"/>
          <w:szCs w:val="16"/>
        </w:rPr>
        <w:tab/>
        <w:t>Year 5</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Current</w:t>
      </w:r>
      <w:r w:rsidRPr="008B2E1E">
        <w:rPr>
          <w:b/>
          <w:bCs/>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t> </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Federal (20%) 3/</w:t>
      </w:r>
      <w:r w:rsidRPr="008B2E1E">
        <w:rPr>
          <w:b/>
          <w:bCs/>
          <w:color w:val="000000"/>
          <w:sz w:val="16"/>
          <w:szCs w:val="16"/>
        </w:rPr>
        <w:tab/>
      </w:r>
      <w:r w:rsidRPr="008B2E1E">
        <w:rPr>
          <w:color w:val="000000"/>
          <w:sz w:val="16"/>
          <w:szCs w:val="16"/>
        </w:rPr>
        <w:t>$2,400,000</w:t>
      </w:r>
      <w:r w:rsidRPr="008B2E1E">
        <w:rPr>
          <w:color w:val="000000"/>
          <w:sz w:val="16"/>
          <w:szCs w:val="16"/>
        </w:rPr>
        <w:tab/>
        <w:t>$2,400,000</w:t>
      </w:r>
      <w:r w:rsidRPr="008B2E1E">
        <w:rPr>
          <w:color w:val="000000"/>
          <w:sz w:val="16"/>
          <w:szCs w:val="16"/>
        </w:rPr>
        <w:tab/>
        <w:t>$2,400,000</w:t>
      </w:r>
      <w:r w:rsidRPr="008B2E1E">
        <w:rPr>
          <w:color w:val="000000"/>
          <w:sz w:val="16"/>
          <w:szCs w:val="16"/>
        </w:rPr>
        <w:tab/>
        <w:t>$2,400,000</w:t>
      </w:r>
      <w:r w:rsidRPr="008B2E1E">
        <w:rPr>
          <w:color w:val="000000"/>
          <w:sz w:val="16"/>
          <w:szCs w:val="16"/>
        </w:rPr>
        <w:tab/>
        <w:t>$2,400,000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State (10%) 4/</w:t>
      </w:r>
      <w:r w:rsidRPr="008B2E1E">
        <w:rPr>
          <w:b/>
          <w:bCs/>
          <w:color w:val="000000"/>
          <w:sz w:val="16"/>
          <w:szCs w:val="16"/>
        </w:rPr>
        <w:tab/>
      </w:r>
      <w:r w:rsidRPr="008B2E1E">
        <w:rPr>
          <w:color w:val="000000"/>
          <w:sz w:val="16"/>
          <w:szCs w:val="16"/>
        </w:rPr>
        <w:t>$1,200,000</w:t>
      </w:r>
      <w:r w:rsidRPr="008B2E1E">
        <w:rPr>
          <w:color w:val="000000"/>
          <w:sz w:val="16"/>
          <w:szCs w:val="16"/>
        </w:rPr>
        <w:tab/>
        <w:t>$1,200,000</w:t>
      </w:r>
      <w:r w:rsidRPr="008B2E1E">
        <w:rPr>
          <w:color w:val="000000"/>
          <w:sz w:val="16"/>
          <w:szCs w:val="16"/>
        </w:rPr>
        <w:tab/>
        <w:t>$1,200,000</w:t>
      </w:r>
      <w:r w:rsidRPr="008B2E1E">
        <w:rPr>
          <w:color w:val="000000"/>
          <w:sz w:val="16"/>
          <w:szCs w:val="16"/>
        </w:rPr>
        <w:tab/>
        <w:t>$1,200,000</w:t>
      </w:r>
      <w:r w:rsidRPr="008B2E1E">
        <w:rPr>
          <w:color w:val="000000"/>
          <w:sz w:val="16"/>
          <w:szCs w:val="16"/>
        </w:rPr>
        <w:tab/>
        <w:t>$1,200,000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Total Tax Credits</w:t>
      </w:r>
      <w:r w:rsidRPr="008B2E1E">
        <w:rPr>
          <w:b/>
          <w:bCs/>
          <w:color w:val="000000"/>
          <w:sz w:val="16"/>
          <w:szCs w:val="16"/>
        </w:rPr>
        <w:tab/>
      </w:r>
      <w:r w:rsidRPr="008B2E1E">
        <w:rPr>
          <w:color w:val="000000"/>
          <w:sz w:val="16"/>
          <w:szCs w:val="16"/>
        </w:rPr>
        <w:t>$3,600,000</w:t>
      </w:r>
      <w:r w:rsidRPr="008B2E1E">
        <w:rPr>
          <w:color w:val="000000"/>
          <w:sz w:val="16"/>
          <w:szCs w:val="16"/>
        </w:rPr>
        <w:tab/>
        <w:t>$3,600,000</w:t>
      </w:r>
      <w:r w:rsidRPr="008B2E1E">
        <w:rPr>
          <w:color w:val="000000"/>
          <w:sz w:val="16"/>
          <w:szCs w:val="16"/>
        </w:rPr>
        <w:tab/>
        <w:t>$3,600,000</w:t>
      </w:r>
      <w:r w:rsidRPr="008B2E1E">
        <w:rPr>
          <w:color w:val="000000"/>
          <w:sz w:val="16"/>
          <w:szCs w:val="16"/>
        </w:rPr>
        <w:tab/>
        <w:t>$3,600,000</w:t>
      </w:r>
      <w:r w:rsidRPr="008B2E1E">
        <w:rPr>
          <w:color w:val="000000"/>
          <w:sz w:val="16"/>
          <w:szCs w:val="16"/>
        </w:rPr>
        <w:tab/>
        <w:t>$3,600,000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Amendment</w:t>
      </w:r>
      <w:r w:rsidRPr="008B2E1E">
        <w:rPr>
          <w:b/>
          <w:bCs/>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r>
      <w:r w:rsidRPr="008B2E1E">
        <w:rPr>
          <w:color w:val="000000"/>
          <w:sz w:val="16"/>
          <w:szCs w:val="16"/>
        </w:rPr>
        <w:tab/>
        <w:t> </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Federal (20%) 3/</w:t>
      </w:r>
      <w:r w:rsidRPr="008B2E1E">
        <w:rPr>
          <w:b/>
          <w:bCs/>
          <w:color w:val="000000"/>
          <w:sz w:val="16"/>
          <w:szCs w:val="16"/>
        </w:rPr>
        <w:tab/>
      </w:r>
      <w:r w:rsidRPr="008B2E1E">
        <w:rPr>
          <w:color w:val="000000"/>
          <w:sz w:val="16"/>
          <w:szCs w:val="16"/>
        </w:rPr>
        <w:t>$2,400,000</w:t>
      </w:r>
      <w:r w:rsidRPr="008B2E1E">
        <w:rPr>
          <w:color w:val="000000"/>
          <w:sz w:val="16"/>
          <w:szCs w:val="16"/>
        </w:rPr>
        <w:tab/>
        <w:t>$2,400,000</w:t>
      </w:r>
      <w:r w:rsidRPr="008B2E1E">
        <w:rPr>
          <w:color w:val="000000"/>
          <w:sz w:val="16"/>
          <w:szCs w:val="16"/>
        </w:rPr>
        <w:tab/>
        <w:t>$2,400,000</w:t>
      </w:r>
      <w:r w:rsidRPr="008B2E1E">
        <w:rPr>
          <w:color w:val="000000"/>
          <w:sz w:val="16"/>
          <w:szCs w:val="16"/>
        </w:rPr>
        <w:tab/>
        <w:t>$2,400,000</w:t>
      </w:r>
      <w:r w:rsidRPr="008B2E1E">
        <w:rPr>
          <w:color w:val="000000"/>
          <w:sz w:val="16"/>
          <w:szCs w:val="16"/>
        </w:rPr>
        <w:tab/>
        <w:t>$2,400,000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State (25%) 4/</w:t>
      </w:r>
      <w:r w:rsidRPr="008B2E1E">
        <w:rPr>
          <w:b/>
          <w:bCs/>
          <w:color w:val="000000"/>
          <w:sz w:val="16"/>
          <w:szCs w:val="16"/>
        </w:rPr>
        <w:tab/>
      </w:r>
      <w:r w:rsidRPr="008B2E1E">
        <w:rPr>
          <w:color w:val="000000"/>
          <w:sz w:val="16"/>
          <w:szCs w:val="16"/>
        </w:rPr>
        <w:t>$7,500,000</w:t>
      </w:r>
      <w:r w:rsidRPr="008B2E1E">
        <w:rPr>
          <w:color w:val="000000"/>
          <w:sz w:val="16"/>
          <w:szCs w:val="16"/>
        </w:rPr>
        <w:tab/>
        <w:t>$7,500,000</w:t>
      </w:r>
      <w:r w:rsidRPr="008B2E1E">
        <w:rPr>
          <w:color w:val="000000"/>
          <w:sz w:val="16"/>
          <w:szCs w:val="16"/>
        </w:rPr>
        <w:tab/>
        <w:t>$0</w:t>
      </w:r>
      <w:r w:rsidRPr="008B2E1E">
        <w:rPr>
          <w:color w:val="000000"/>
          <w:sz w:val="16"/>
          <w:szCs w:val="16"/>
        </w:rPr>
        <w:tab/>
        <w:t>$0</w:t>
      </w:r>
      <w:r w:rsidRPr="008B2E1E">
        <w:rPr>
          <w:color w:val="000000"/>
          <w:sz w:val="16"/>
          <w:szCs w:val="16"/>
        </w:rPr>
        <w:tab/>
        <w:t>$0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Total Tax Credits</w:t>
      </w:r>
      <w:r w:rsidRPr="008B2E1E">
        <w:rPr>
          <w:b/>
          <w:bCs/>
          <w:color w:val="000000"/>
          <w:sz w:val="16"/>
          <w:szCs w:val="16"/>
        </w:rPr>
        <w:tab/>
      </w:r>
      <w:r w:rsidRPr="008B2E1E">
        <w:rPr>
          <w:color w:val="000000"/>
          <w:sz w:val="16"/>
          <w:szCs w:val="16"/>
        </w:rPr>
        <w:t>$9,900,000</w:t>
      </w:r>
      <w:r w:rsidRPr="008B2E1E">
        <w:rPr>
          <w:color w:val="000000"/>
          <w:sz w:val="16"/>
          <w:szCs w:val="16"/>
        </w:rPr>
        <w:tab/>
        <w:t>$9,900,000</w:t>
      </w:r>
      <w:r w:rsidRPr="008B2E1E">
        <w:rPr>
          <w:color w:val="000000"/>
          <w:sz w:val="16"/>
          <w:szCs w:val="16"/>
        </w:rPr>
        <w:tab/>
        <w:t>$2,400,000</w:t>
      </w:r>
      <w:r w:rsidRPr="008B2E1E">
        <w:rPr>
          <w:color w:val="000000"/>
          <w:sz w:val="16"/>
          <w:szCs w:val="16"/>
        </w:rPr>
        <w:tab/>
        <w:t>$2,400,000</w:t>
      </w:r>
      <w:r w:rsidRPr="008B2E1E">
        <w:rPr>
          <w:color w:val="000000"/>
          <w:sz w:val="16"/>
          <w:szCs w:val="16"/>
        </w:rPr>
        <w:tab/>
        <w:t>$2,400,000</w:t>
      </w:r>
    </w:p>
    <w:p w:rsidR="00F57EED" w:rsidRPr="008B2E1E" w:rsidRDefault="00F57EED" w:rsidP="004777E8">
      <w:pPr>
        <w:tabs>
          <w:tab w:val="left" w:pos="180"/>
          <w:tab w:val="left" w:pos="1440"/>
          <w:tab w:val="left" w:pos="2340"/>
          <w:tab w:val="left" w:pos="3240"/>
          <w:tab w:val="left" w:pos="4140"/>
          <w:tab w:val="left" w:pos="5130"/>
        </w:tabs>
        <w:jc w:val="left"/>
        <w:rPr>
          <w:color w:val="000000"/>
          <w:sz w:val="16"/>
          <w:szCs w:val="16"/>
        </w:rPr>
      </w:pPr>
      <w:r w:rsidRPr="008B2E1E">
        <w:rPr>
          <w:b/>
          <w:bCs/>
          <w:color w:val="000000"/>
          <w:sz w:val="16"/>
          <w:szCs w:val="16"/>
        </w:rPr>
        <w:t> </w:t>
      </w:r>
      <w:r w:rsidRPr="008B2E1E">
        <w:rPr>
          <w:b/>
          <w:bCs/>
          <w:color w:val="000000"/>
          <w:sz w:val="16"/>
          <w:szCs w:val="16"/>
        </w:rPr>
        <w:tab/>
        <w:t>Difference</w:t>
      </w:r>
      <w:r w:rsidRPr="008B2E1E">
        <w:rPr>
          <w:b/>
          <w:bCs/>
          <w:color w:val="000000"/>
          <w:sz w:val="16"/>
          <w:szCs w:val="16"/>
        </w:rPr>
        <w:tab/>
      </w:r>
      <w:r w:rsidRPr="008B2E1E">
        <w:rPr>
          <w:color w:val="000000"/>
          <w:sz w:val="16"/>
          <w:szCs w:val="16"/>
        </w:rPr>
        <w:t>$6,300,000</w:t>
      </w:r>
      <w:r w:rsidRPr="008B2E1E">
        <w:rPr>
          <w:color w:val="000000"/>
          <w:sz w:val="16"/>
          <w:szCs w:val="16"/>
        </w:rPr>
        <w:tab/>
        <w:t>$6,300,000</w:t>
      </w:r>
      <w:r w:rsidRPr="008B2E1E">
        <w:rPr>
          <w:color w:val="000000"/>
          <w:sz w:val="16"/>
          <w:szCs w:val="16"/>
        </w:rPr>
        <w:tab/>
        <w:t>-$1,200,000</w:t>
      </w:r>
      <w:r w:rsidRPr="008B2E1E">
        <w:rPr>
          <w:color w:val="000000"/>
          <w:sz w:val="16"/>
          <w:szCs w:val="16"/>
        </w:rPr>
        <w:tab/>
        <w:t>-$1,200,000</w:t>
      </w:r>
      <w:r w:rsidRPr="008B2E1E">
        <w:rPr>
          <w:color w:val="000000"/>
          <w:sz w:val="16"/>
          <w:szCs w:val="16"/>
        </w:rPr>
        <w:tab/>
        <w:t>-$1,200,000</w:t>
      </w:r>
    </w:p>
    <w:p w:rsidR="00F57EED" w:rsidRDefault="00F57EED" w:rsidP="004777E8">
      <w:pPr>
        <w:tabs>
          <w:tab w:val="left" w:pos="180"/>
          <w:tab w:val="left" w:pos="1440"/>
          <w:tab w:val="left" w:pos="2340"/>
          <w:tab w:val="left" w:pos="3240"/>
          <w:tab w:val="left" w:pos="4140"/>
          <w:tab w:val="left" w:pos="5130"/>
        </w:tabs>
        <w:jc w:val="left"/>
        <w:rPr>
          <w:b/>
          <w:bCs/>
          <w:color w:val="000000"/>
          <w:sz w:val="16"/>
          <w:szCs w:val="16"/>
        </w:rPr>
      </w:pPr>
      <w:r w:rsidRPr="008B2E1E">
        <w:rPr>
          <w:b/>
          <w:bCs/>
          <w:color w:val="000000"/>
          <w:sz w:val="16"/>
          <w:szCs w:val="16"/>
        </w:rPr>
        <w:t xml:space="preserve">TOTAL </w:t>
      </w:r>
    </w:p>
    <w:p w:rsidR="00F57EED" w:rsidRPr="008B2E1E" w:rsidRDefault="00F57EED" w:rsidP="004777E8">
      <w:pPr>
        <w:tabs>
          <w:tab w:val="left" w:pos="180"/>
          <w:tab w:val="left" w:pos="1440"/>
          <w:tab w:val="left" w:pos="2340"/>
          <w:tab w:val="left" w:pos="3240"/>
          <w:tab w:val="left" w:pos="4140"/>
          <w:tab w:val="left" w:pos="5130"/>
        </w:tabs>
        <w:jc w:val="left"/>
        <w:rPr>
          <w:b/>
          <w:bCs/>
          <w:color w:val="000000"/>
          <w:sz w:val="16"/>
          <w:szCs w:val="16"/>
        </w:rPr>
      </w:pPr>
      <w:r w:rsidRPr="008B2E1E">
        <w:rPr>
          <w:b/>
          <w:bCs/>
          <w:color w:val="000000"/>
          <w:sz w:val="16"/>
          <w:szCs w:val="16"/>
        </w:rPr>
        <w:t>DIFFERENCE</w:t>
      </w:r>
      <w:r w:rsidRPr="008B2E1E">
        <w:rPr>
          <w:b/>
          <w:bCs/>
          <w:color w:val="000000"/>
          <w:sz w:val="16"/>
          <w:szCs w:val="16"/>
        </w:rPr>
        <w:tab/>
        <w:t>$13,300,000</w:t>
      </w:r>
      <w:r w:rsidRPr="008B2E1E">
        <w:rPr>
          <w:b/>
          <w:bCs/>
          <w:color w:val="000000"/>
          <w:sz w:val="16"/>
          <w:szCs w:val="16"/>
        </w:rPr>
        <w:tab/>
        <w:t>$13,300,000</w:t>
      </w:r>
      <w:r w:rsidRPr="008B2E1E">
        <w:rPr>
          <w:b/>
          <w:bCs/>
          <w:color w:val="000000"/>
          <w:sz w:val="16"/>
          <w:szCs w:val="16"/>
        </w:rPr>
        <w:tab/>
        <w:t>-$1,700,000</w:t>
      </w:r>
      <w:r w:rsidRPr="008B2E1E">
        <w:rPr>
          <w:b/>
          <w:bCs/>
          <w:color w:val="000000"/>
          <w:sz w:val="16"/>
          <w:szCs w:val="16"/>
        </w:rPr>
        <w:tab/>
        <w:t>-$1,700,000</w:t>
      </w:r>
      <w:r w:rsidRPr="008B2E1E">
        <w:rPr>
          <w:b/>
          <w:bCs/>
          <w:color w:val="000000"/>
          <w:sz w:val="16"/>
          <w:szCs w:val="16"/>
        </w:rPr>
        <w:tab/>
        <w:t>-$1,700,000</w:t>
      </w:r>
    </w:p>
    <w:p w:rsidR="00F57EED" w:rsidRPr="008B2E1E" w:rsidRDefault="00F57EED" w:rsidP="00F57EED">
      <w:pPr>
        <w:tabs>
          <w:tab w:val="left" w:pos="1602"/>
          <w:tab w:val="left" w:pos="2034"/>
          <w:tab w:val="left" w:pos="3558"/>
          <w:tab w:val="left" w:pos="5082"/>
        </w:tabs>
        <w:jc w:val="left"/>
        <w:rPr>
          <w:color w:val="000000"/>
          <w:sz w:val="16"/>
          <w:szCs w:val="16"/>
        </w:rPr>
      </w:pPr>
      <w:r w:rsidRPr="008B2E1E">
        <w:rPr>
          <w:color w:val="000000"/>
          <w:sz w:val="16"/>
          <w:szCs w:val="16"/>
        </w:rPr>
        <w:t>Notes:</w:t>
      </w:r>
    </w:p>
    <w:p w:rsidR="00F57EED" w:rsidRPr="008B2E1E" w:rsidRDefault="00F57EED" w:rsidP="00F57EED">
      <w:pPr>
        <w:tabs>
          <w:tab w:val="left" w:pos="649"/>
          <w:tab w:val="left" w:pos="3558"/>
          <w:tab w:val="left" w:pos="5082"/>
        </w:tabs>
        <w:jc w:val="left"/>
        <w:rPr>
          <w:color w:val="000000"/>
          <w:sz w:val="16"/>
          <w:szCs w:val="16"/>
        </w:rPr>
      </w:pPr>
      <w:r w:rsidRPr="008B2E1E">
        <w:rPr>
          <w:color w:val="000000"/>
          <w:sz w:val="16"/>
          <w:szCs w:val="16"/>
        </w:rPr>
        <w:t>1/</w:t>
      </w:r>
      <w:r w:rsidRPr="008B2E1E">
        <w:rPr>
          <w:color w:val="000000"/>
          <w:sz w:val="16"/>
          <w:szCs w:val="16"/>
        </w:rPr>
        <w:tab/>
        <w:t>Section 12-67-140(B)(2), (3)(a)</w:t>
      </w:r>
    </w:p>
    <w:p w:rsidR="00F57EED" w:rsidRPr="008B2E1E" w:rsidRDefault="00F57EED" w:rsidP="00F57EED">
      <w:pPr>
        <w:tabs>
          <w:tab w:val="left" w:pos="649"/>
          <w:tab w:val="left" w:pos="3558"/>
          <w:tab w:val="left" w:pos="5082"/>
        </w:tabs>
        <w:jc w:val="left"/>
        <w:rPr>
          <w:color w:val="000000"/>
          <w:sz w:val="16"/>
          <w:szCs w:val="16"/>
        </w:rPr>
      </w:pPr>
      <w:r w:rsidRPr="008B2E1E">
        <w:rPr>
          <w:color w:val="000000"/>
          <w:sz w:val="16"/>
          <w:szCs w:val="16"/>
        </w:rPr>
        <w:t>2/</w:t>
      </w:r>
      <w:r w:rsidRPr="008B2E1E">
        <w:rPr>
          <w:color w:val="000000"/>
          <w:sz w:val="16"/>
          <w:szCs w:val="16"/>
        </w:rPr>
        <w:tab/>
        <w:t>Section 12-67-140(B)(3)(b)</w:t>
      </w:r>
    </w:p>
    <w:p w:rsidR="00F57EED" w:rsidRPr="008B2E1E" w:rsidRDefault="00F57EED" w:rsidP="000A1AC7">
      <w:pPr>
        <w:keepNext/>
        <w:tabs>
          <w:tab w:val="left" w:pos="649"/>
          <w:tab w:val="left" w:pos="2034"/>
          <w:tab w:val="left" w:pos="3558"/>
          <w:tab w:val="left" w:pos="5082"/>
        </w:tabs>
        <w:jc w:val="left"/>
        <w:rPr>
          <w:color w:val="000000"/>
          <w:sz w:val="16"/>
          <w:szCs w:val="16"/>
        </w:rPr>
      </w:pPr>
      <w:r w:rsidRPr="008B2E1E">
        <w:rPr>
          <w:color w:val="000000"/>
          <w:sz w:val="16"/>
          <w:szCs w:val="16"/>
        </w:rPr>
        <w:t>3/</w:t>
      </w:r>
      <w:r w:rsidRPr="008B2E1E">
        <w:rPr>
          <w:color w:val="000000"/>
          <w:sz w:val="16"/>
          <w:szCs w:val="16"/>
        </w:rPr>
        <w:tab/>
        <w:t>26 USC Sec. 47(a)(2)</w:t>
      </w:r>
    </w:p>
    <w:p w:rsidR="00F57EED" w:rsidRPr="008B2E1E" w:rsidRDefault="00F57EED" w:rsidP="000A1AC7">
      <w:pPr>
        <w:keepNext/>
        <w:tabs>
          <w:tab w:val="left" w:pos="649"/>
          <w:tab w:val="left" w:pos="3558"/>
          <w:tab w:val="left" w:pos="5082"/>
        </w:tabs>
        <w:jc w:val="left"/>
        <w:rPr>
          <w:color w:val="000000"/>
          <w:sz w:val="16"/>
          <w:szCs w:val="16"/>
        </w:rPr>
      </w:pPr>
      <w:r w:rsidRPr="008B2E1E">
        <w:rPr>
          <w:color w:val="000000"/>
          <w:sz w:val="16"/>
          <w:szCs w:val="16"/>
        </w:rPr>
        <w:t>4/</w:t>
      </w:r>
      <w:r w:rsidRPr="008B2E1E">
        <w:rPr>
          <w:color w:val="000000"/>
          <w:sz w:val="16"/>
          <w:szCs w:val="16"/>
        </w:rPr>
        <w:tab/>
        <w:t>Section 12-6-3535(A), (C)(1)</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0440F">
        <w:rPr>
          <w:rFonts w:ascii="Times New Roman" w:hAnsi="Times New Roman"/>
          <w:sz w:val="22"/>
          <w:szCs w:val="22"/>
        </w:rPr>
        <w:t xml:space="preserve">The most well-known example of a state-owned abandoned building is the Babcock Building located off Bull Street in Columbia, South Carolina. Built between 1858 and 1885, it was the home of the South Carolina State Hospital. On October 30, 1981, the Babcock Building was added to the National Register of </w:t>
      </w:r>
      <w:r w:rsidRPr="0080440F">
        <w:rPr>
          <w:rFonts w:ascii="Times New Roman" w:hAnsi="Times New Roman"/>
          <w:sz w:val="22"/>
          <w:szCs w:val="22"/>
        </w:rPr>
        <w:lastRenderedPageBreak/>
        <w:t>Historic Places. The property was sold for $15,000,000 in July 2013, and the total renovation costs of the Babcock Building and the ancillary out-buildings are estimated at $60,000,000.</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0440F">
        <w:rPr>
          <w:rFonts w:ascii="Times New Roman" w:hAnsi="Times New Roman"/>
          <w:sz w:val="22"/>
          <w:szCs w:val="22"/>
        </w:rPr>
        <w:t>As a result, the Bull Street property would be eligible for two tax credits – the abandoned buildings revitalization tax credit and the certified historic building tax credit. This amendment amends language in each statute. Table 1 summarizes the net changes affecting the tax credits regarding this property under current law and the tax credits under the amended language to current law.</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0440F">
        <w:rPr>
          <w:rFonts w:ascii="Times New Roman" w:hAnsi="Times New Roman"/>
          <w:sz w:val="22"/>
          <w:szCs w:val="22"/>
        </w:rPr>
        <w:t>This amendment removes the $500,000 tax credit limitation that each taxpayer may claim each year, and accelerates the time period the tax credits may be claimed from five years down to two years. Based on the analysis in Table 1, this would result in additional tax credits of $7,000,000 claimed in Year 1 and Year 2 of a proposed $60,000,000 rehabilitation project. This amendment would also affect the amount of tax credits for renovating a certified historic structure. Pursuant to IRS Code 47, a taxpayer may claim a twenty percent federal tax credit against qualified rehabilitation expenditures. Current state law allows the same taxpayer that is eligible for the federal tax credit to also claim a ten percent state tax credit for rehabilitating a certified historic structure. This is a combined federal-state subsidy of thirty percent of the total cost of rehabilitation expenses. This amendment would allow a state taxpayer to claim a state tax credit of twenty-five percent in lieu of the current ten percent state tax credit. This amendment would increase the combined federal-state subsidy to forty-five percent of the total cost of rehabilitation expenses, and accelerates the time period the tax credits may be claimed from five years down to two years.</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 xml:space="preserve">After combining the net effects of the state-owned abandoned building tax credit and the tax credit for rehabilitation expenses of a certified historic structure, this amendment would reduce </w:t>
      </w:r>
      <w:r>
        <w:rPr>
          <w:szCs w:val="22"/>
        </w:rPr>
        <w:t>g</w:t>
      </w:r>
      <w:r w:rsidRPr="0080440F">
        <w:rPr>
          <w:szCs w:val="22"/>
        </w:rPr>
        <w:t xml:space="preserve">eneral </w:t>
      </w:r>
      <w:r>
        <w:rPr>
          <w:szCs w:val="22"/>
        </w:rPr>
        <w:t>f</w:t>
      </w:r>
      <w:r w:rsidRPr="0080440F">
        <w:rPr>
          <w:szCs w:val="22"/>
        </w:rPr>
        <w:t>und individual income tax, corporate income tax, bank tax, savings and loan tax, or corporate license fee revenue by an estimated $13,300,000 in FY2014-15 and by an estimated $13,300,000 in FY2015-16.</w:t>
      </w:r>
    </w:p>
    <w:p w:rsidR="00F57EED" w:rsidRPr="0080440F" w:rsidRDefault="00F57EED" w:rsidP="000A1AC7">
      <w:pPr>
        <w:pStyle w:val="BodyText"/>
        <w:keepN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80440F">
        <w:rPr>
          <w:rFonts w:ascii="Times New Roman" w:hAnsi="Times New Roman"/>
          <w:b/>
          <w:sz w:val="22"/>
          <w:szCs w:val="22"/>
        </w:rPr>
        <w:t>Explanation of Amendment (February 26, 2013) – Senate Finance Committee</w:t>
      </w:r>
    </w:p>
    <w:p w:rsidR="00F57EED" w:rsidRPr="0080440F" w:rsidRDefault="00F57EED" w:rsidP="00F57EE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80440F">
        <w:rPr>
          <w:rFonts w:ascii="Times New Roman" w:hAnsi="Times New Roman"/>
          <w:sz w:val="22"/>
          <w:szCs w:val="22"/>
        </w:rPr>
        <w:t>This amendment strikes all after the enacting words and inserts the following changes to the bill:</w:t>
      </w:r>
    </w:p>
    <w:p w:rsidR="00F57EED" w:rsidRPr="0080440F" w:rsidRDefault="00B27952" w:rsidP="00B27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ascii="Times New Roman" w:hAnsi="Times New Roman"/>
        </w:rPr>
      </w:pPr>
      <w:r w:rsidRPr="0080440F">
        <w:rPr>
          <w:rFonts w:ascii="Symbol" w:hAnsi="Symbol"/>
        </w:rPr>
        <w:t></w:t>
      </w:r>
      <w:r w:rsidRPr="0080440F">
        <w:rPr>
          <w:rFonts w:ascii="Symbol" w:hAnsi="Symbol"/>
        </w:rPr>
        <w:tab/>
      </w:r>
      <w:r w:rsidR="00F57EED" w:rsidRPr="0080440F">
        <w:rPr>
          <w:rFonts w:ascii="Times New Roman" w:hAnsi="Times New Roman"/>
        </w:rPr>
        <w:t xml:space="preserve">The amendment clarifies that, “an abandoned building is not a building or structure with an immediate preceding use as a single-family residence”. This would remove </w:t>
      </w:r>
      <w:r w:rsidR="00F57EED" w:rsidRPr="0080440F">
        <w:rPr>
          <w:rFonts w:ascii="Times New Roman" w:hAnsi="Times New Roman"/>
        </w:rPr>
        <w:lastRenderedPageBreak/>
        <w:t>foreclosed and bank-owned buildings from the mix of eligible properties for the credit.</w:t>
      </w:r>
    </w:p>
    <w:p w:rsidR="00F57EED" w:rsidRPr="0080440F" w:rsidRDefault="00B27952" w:rsidP="00B27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ascii="Times New Roman" w:hAnsi="Times New Roman"/>
        </w:rPr>
      </w:pPr>
      <w:r w:rsidRPr="0080440F">
        <w:rPr>
          <w:rFonts w:ascii="Symbol" w:hAnsi="Symbol"/>
        </w:rPr>
        <w:t></w:t>
      </w:r>
      <w:r w:rsidRPr="0080440F">
        <w:rPr>
          <w:rFonts w:ascii="Symbol" w:hAnsi="Symbol"/>
        </w:rPr>
        <w:tab/>
      </w:r>
      <w:r w:rsidR="00F57EED" w:rsidRPr="0080440F">
        <w:rPr>
          <w:rFonts w:ascii="Times New Roman" w:hAnsi="Times New Roman"/>
        </w:rPr>
        <w:t>The amendment disallows any rehabilitation expenses that increase the amount of square footage in excess of 200% of the square footage that existed before rehabilitation project started. Also, demolition expenses are not qualified expenses if the building is on the National Register of Historical Places. These provisions would limit the size of the rehabilitated abandoned building that would qualify for the tax credit.</w:t>
      </w:r>
    </w:p>
    <w:p w:rsidR="00F57EED" w:rsidRPr="0080440F" w:rsidRDefault="00B27952" w:rsidP="00B27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ascii="Times New Roman" w:hAnsi="Times New Roman"/>
        </w:rPr>
      </w:pPr>
      <w:r w:rsidRPr="0080440F">
        <w:rPr>
          <w:rFonts w:ascii="Symbol" w:hAnsi="Symbol"/>
        </w:rPr>
        <w:t></w:t>
      </w:r>
      <w:r w:rsidRPr="0080440F">
        <w:rPr>
          <w:rFonts w:ascii="Symbol" w:hAnsi="Symbol"/>
        </w:rPr>
        <w:tab/>
      </w:r>
      <w:r w:rsidR="00F57EED" w:rsidRPr="0080440F">
        <w:rPr>
          <w:rFonts w:ascii="Times New Roman" w:hAnsi="Times New Roman"/>
        </w:rPr>
        <w:t>Section 12-67-130 lowers the threshold of qualified rehabilitation expenses to qualify for the tax credit from more than $500,000 to a graduated scale based on the dollar volume of rehabilitation expenses and the population of the location of the building in a county or municipality. This provision would promote greater use of the tax credit by allowing additional abandoned properties in smaller towns and locations to qualify for the tax credit.</w:t>
      </w:r>
    </w:p>
    <w:p w:rsidR="00F57EED" w:rsidRPr="0080440F" w:rsidRDefault="00B27952" w:rsidP="00B27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ascii="Times New Roman" w:hAnsi="Times New Roman"/>
        </w:rPr>
      </w:pPr>
      <w:r w:rsidRPr="0080440F">
        <w:rPr>
          <w:rFonts w:ascii="Symbol" w:hAnsi="Symbol"/>
        </w:rPr>
        <w:t></w:t>
      </w:r>
      <w:r w:rsidRPr="0080440F">
        <w:rPr>
          <w:rFonts w:ascii="Symbol" w:hAnsi="Symbol"/>
        </w:rPr>
        <w:tab/>
      </w:r>
      <w:r w:rsidR="00F57EED" w:rsidRPr="0080440F">
        <w:rPr>
          <w:rFonts w:ascii="Times New Roman" w:hAnsi="Times New Roman"/>
        </w:rPr>
        <w:t>The amendment also limits the amount of the credit that may be claimed by any taxpayer in a tax year to no more than $500,000 for each abandoned building site.</w:t>
      </w:r>
    </w:p>
    <w:p w:rsidR="00F57EED" w:rsidRPr="0080440F" w:rsidRDefault="00B27952" w:rsidP="00B279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ascii="Times New Roman" w:hAnsi="Times New Roman"/>
        </w:rPr>
      </w:pPr>
      <w:r w:rsidRPr="0080440F">
        <w:rPr>
          <w:rFonts w:ascii="Symbol" w:hAnsi="Symbol"/>
        </w:rPr>
        <w:t></w:t>
      </w:r>
      <w:r w:rsidRPr="0080440F">
        <w:rPr>
          <w:rFonts w:ascii="Symbol" w:hAnsi="Symbol"/>
        </w:rPr>
        <w:tab/>
      </w:r>
      <w:r w:rsidR="00F57EED" w:rsidRPr="0080440F">
        <w:rPr>
          <w:rFonts w:ascii="Times New Roman" w:hAnsi="Times New Roman"/>
        </w:rPr>
        <w:t>The amendment also allows the rehabilitation tax credit to be applied against taxes pursuant to Chapter 13 of Title 12, the tax on the net income of savings and loans. This provision would widen the tax base of which the tax credit may be applied, thereby increasing the use of the tax greater.</w:t>
      </w:r>
    </w:p>
    <w:p w:rsidR="00F57EED" w:rsidRPr="0080440F" w:rsidRDefault="00F57EED" w:rsidP="00F57E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rPr>
      </w:pPr>
      <w:r>
        <w:rPr>
          <w:rFonts w:ascii="Times New Roman" w:hAnsi="Times New Roman"/>
        </w:rPr>
        <w:tab/>
      </w:r>
      <w:r w:rsidRPr="0080440F">
        <w:rPr>
          <w:rFonts w:ascii="Times New Roman" w:hAnsi="Times New Roman"/>
        </w:rPr>
        <w:t xml:space="preserve">Overall, the effect of the amendment is to allow greater use of the rehabilitation of abandoned buildings tax credit by lowering the threshold to qualify for the tax credit and expanding the base of which the tax credit may be applied. Since the revenue impact was calculated by using an estimate of the total amount of square footage of abandoned buildings in the state, the provisions in the amendment would change the mix of the structures being rehabilitated, but the tax credit limitations have remained unchanged. This amendment, therefore, would not change the original revenue impact and is expected to reduce </w:t>
      </w:r>
      <w:r>
        <w:rPr>
          <w:rFonts w:ascii="Times New Roman" w:hAnsi="Times New Roman"/>
        </w:rPr>
        <w:t>g</w:t>
      </w:r>
      <w:r w:rsidRPr="0080440F">
        <w:rPr>
          <w:rFonts w:ascii="Times New Roman" w:hAnsi="Times New Roman"/>
        </w:rPr>
        <w:t xml:space="preserve">eneral </w:t>
      </w:r>
      <w:r>
        <w:rPr>
          <w:rFonts w:ascii="Times New Roman" w:hAnsi="Times New Roman"/>
        </w:rPr>
        <w:t>f</w:t>
      </w:r>
      <w:r w:rsidRPr="0080440F">
        <w:rPr>
          <w:rFonts w:ascii="Times New Roman" w:hAnsi="Times New Roman"/>
        </w:rPr>
        <w:t xml:space="preserve">und individual income tax, corporate income tax, bank tax, saving and loan tax, or corporate license fee revenue by an estimated $937,500 in FY2013-14 and by an estimated $3,750,000 in FY2014-15, and for each fiscal year thereafter until FY2017-18. </w:t>
      </w:r>
    </w:p>
    <w:p w:rsidR="00F57EED" w:rsidRPr="0080440F" w:rsidRDefault="00F57EED" w:rsidP="00F57EED">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80440F">
        <w:rPr>
          <w:rFonts w:ascii="Times New Roman" w:hAnsi="Times New Roman"/>
          <w:sz w:val="22"/>
          <w:szCs w:val="22"/>
        </w:rPr>
        <w:lastRenderedPageBreak/>
        <w:t>Explanation of Bill Filed January 15, 2013</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This bill would add Chapter 67 to Title 12 to extend a nonrefundable tax credit to create an incentive for the rehabilitation, renovation, and redevelopment of abandoned buildings located in South Carolina. An “abandoned building” means a building or structure on which at least sixty-six percent of the space has been closed continuously to business for a period of at least five years. This bill would add Section 12-67-140(B)(2) to allow a taxpayer a nonrefundable credit of twenty-five percent of the actual rehabilitation expenses incurred at the building site. To be eligible for the tax credit, the actual rehabilitation expenses must be between eighty percent and one hundred twenty-five percent of the estimated rehabilitation expenses set forth in the Notice of Intent to Rehabilitate. The entire credit is earned when the building is placed in service, but the tax credit must be taken in equal installments over five years. Any unused credits may be carried forward for the succeeding five years. The tax credit is limited in use to fifty percent of a taxpayer’s income tax liability against income tax, bank tax, or corporate license fees. The tax credits are transferrable.</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 xml:space="preserve">The taxpayer may also choose to elect a credit against real property taxes levied by local taxing entities. The taxpayer must elect the nonrefundable tax credit to be applied against either the income or corporate license taxes, or against property taxes, but not both.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 xml:space="preserve">Eligible abandoned buildings, both private and public, may include, but are not limited to, abandoned residences, retail stores, hotels and motels, office space, health care facilities, schools, amusement and recreational facilities, warehouses, manufacturing facilities, fire towers, National Guard armories, military and defense buildings, college and university buildings, and state office buildings. For example, the 165-acre state Department of Mental Health facility located on Bull Street in Columbia recently was sold to a private developer for $15,000,000. The developer has </w:t>
      </w:r>
      <w:r w:rsidRPr="0080440F">
        <w:rPr>
          <w:szCs w:val="22"/>
        </w:rPr>
        <w:lastRenderedPageBreak/>
        <w:t xml:space="preserve">since estimated and revised renovation expenses to $40,000,000. Multiplying $40,000,000 in renovation expenses by a nonrefundable tax credit of twenty-five percent and applying the tax credit in equal installments over five taxable years, yields a reduction in </w:t>
      </w:r>
      <w:r>
        <w:rPr>
          <w:szCs w:val="22"/>
        </w:rPr>
        <w:t>g</w:t>
      </w:r>
      <w:r w:rsidRPr="0080440F">
        <w:rPr>
          <w:szCs w:val="22"/>
        </w:rPr>
        <w:t xml:space="preserve">eneral </w:t>
      </w:r>
      <w:r>
        <w:rPr>
          <w:szCs w:val="22"/>
        </w:rPr>
        <w:t>f</w:t>
      </w:r>
      <w:r w:rsidRPr="0080440F">
        <w:rPr>
          <w:szCs w:val="22"/>
        </w:rPr>
        <w:t>und tax revenue of an estimated $2,000,000 annually for the next five fiscal years.</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 xml:space="preserve">According to the National Trust for Historic Places, the Palmetto Trust for Historic Preservation, the SC Department of Archives and History, the U.S. Department of General Services, and the South Carolina Budget and Control, there is an estimated 500,000 square feet of abandoned building space throughout the state of South Carolina. Multiplying 500,000 square feet of abandoned income producing space by an average renovation cost of $150 per square foot equals an estimated $75,000,000 of renovation expense that may be undertaken. Applying a twenty-five percent nonrefundable tax credit to $75,000,000 of renovation expense and spreading out the tax credit over five equal installments yields an estimated reduction of </w:t>
      </w:r>
      <w:r>
        <w:rPr>
          <w:szCs w:val="22"/>
        </w:rPr>
        <w:t>g</w:t>
      </w:r>
      <w:r w:rsidRPr="0080440F">
        <w:rPr>
          <w:szCs w:val="22"/>
        </w:rPr>
        <w:t xml:space="preserve">eneral </w:t>
      </w:r>
      <w:r>
        <w:rPr>
          <w:szCs w:val="22"/>
        </w:rPr>
        <w:t>f</w:t>
      </w:r>
      <w:r w:rsidRPr="0080440F">
        <w:rPr>
          <w:szCs w:val="22"/>
        </w:rPr>
        <w:t xml:space="preserve">und individual and corporate income tax and corporation license tax revenue of $3,750,000 in FY2013-14, and for each successive fiscal year for five years to FY2017-18. It is reasonable; however, to estimate that twenty-five percent of rehabilitative projects would qualify in FY2013-14 since it takes time to file a Notice of Intent to Rehabilitate, undertake the renovation, and subsequently inhabit the structure. This bill is expected, therefore, to reduce </w:t>
      </w:r>
      <w:r>
        <w:rPr>
          <w:szCs w:val="22"/>
        </w:rPr>
        <w:t>g</w:t>
      </w:r>
      <w:r w:rsidRPr="0080440F">
        <w:rPr>
          <w:szCs w:val="22"/>
        </w:rPr>
        <w:t xml:space="preserve">eneral </w:t>
      </w:r>
      <w:r>
        <w:rPr>
          <w:szCs w:val="22"/>
        </w:rPr>
        <w:t>f</w:t>
      </w:r>
      <w:r w:rsidRPr="0080440F">
        <w:rPr>
          <w:szCs w:val="22"/>
        </w:rPr>
        <w:t>und individual and corporate income tax and corporation license tax revenue by an estimated $937,500 in FY2013-14 and by an estimated $3,750,000 in each successive fiscal year through FY2017-18.</w:t>
      </w:r>
    </w:p>
    <w:p w:rsidR="00F57EED" w:rsidRPr="0080440F" w:rsidRDefault="00F57EED" w:rsidP="00F5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0440F">
        <w:rPr>
          <w:szCs w:val="22"/>
        </w:rPr>
        <w:t>The taxpayer has the option of applying to a county council or city council for a reduction in local property taxes against the value of the rehabilitated structure. If all taxpayers elect the property tax option, local property tax revenue would be reduced by an estimated $3,750,000 annually. This act takes effect upon approval of the Governor.</w:t>
      </w:r>
    </w:p>
    <w:p w:rsidR="00F57EED" w:rsidRDefault="00F57EED" w:rsidP="00BB0D7A">
      <w:pPr>
        <w:pStyle w:val="BillDots0"/>
      </w:pPr>
    </w:p>
    <w:p w:rsidR="00F57EED" w:rsidRDefault="00F57EED" w:rsidP="000A1AC7">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F57EED" w:rsidRDefault="00F57EED" w:rsidP="000A1AC7">
      <w:pPr>
        <w:pStyle w:val="BillDots0"/>
        <w:keepNext/>
        <w:tabs>
          <w:tab w:val="clear" w:pos="216"/>
          <w:tab w:val="clear" w:pos="432"/>
          <w:tab w:val="clear" w:pos="648"/>
          <w:tab w:val="clear" w:pos="864"/>
          <w:tab w:val="clear" w:pos="1080"/>
          <w:tab w:val="clear" w:pos="1296"/>
          <w:tab w:val="clear" w:pos="5904"/>
          <w:tab w:val="left" w:pos="3024"/>
        </w:tabs>
      </w:pPr>
      <w:r>
        <w:tab/>
        <w:t>Frank A. Rainwater</w:t>
      </w:r>
    </w:p>
    <w:p w:rsidR="00F57EED" w:rsidRPr="00F57EED" w:rsidRDefault="00F57EED" w:rsidP="000A1AC7">
      <w:pPr>
        <w:pStyle w:val="BillDots0"/>
        <w:keepNext/>
        <w:tabs>
          <w:tab w:val="clear" w:pos="216"/>
          <w:tab w:val="clear" w:pos="432"/>
          <w:tab w:val="clear" w:pos="648"/>
          <w:tab w:val="clear" w:pos="864"/>
          <w:tab w:val="clear" w:pos="1080"/>
          <w:tab w:val="clear" w:pos="1296"/>
          <w:tab w:val="clear" w:pos="5904"/>
          <w:tab w:val="left" w:pos="3024"/>
        </w:tabs>
      </w:pPr>
      <w:r>
        <w:tab/>
        <w:t>Board of Economic Advisors</w:t>
      </w:r>
    </w:p>
    <w:p w:rsidR="00F57EED" w:rsidRDefault="00F57EED" w:rsidP="00BB0D7A">
      <w:pPr>
        <w:pStyle w:val="BillDots0"/>
      </w:pPr>
    </w:p>
    <w:p w:rsidR="00F57EED" w:rsidRDefault="00F57EED" w:rsidP="00BB0D7A">
      <w:pPr>
        <w:pStyle w:val="BillDots0"/>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57EED" w:rsidRPr="00F57EED" w:rsidRDefault="00F57EED" w:rsidP="00BB0D7A">
      <w:pPr>
        <w:pStyle w:val="BillDots0"/>
        <w:sectPr w:rsidR="00F57EED" w:rsidRPr="00F57EE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1.</w:t>
      </w:r>
      <w:r>
        <w:rPr>
          <w:color w:val="000000" w:themeColor="text1"/>
          <w:u w:color="000000" w:themeColor="text1"/>
        </w:rPr>
        <w:t>A.</w:t>
      </w:r>
      <w:r w:rsidRPr="00F33A1D">
        <w:rPr>
          <w:color w:val="000000" w:themeColor="text1"/>
          <w:u w:color="000000" w:themeColor="text1"/>
        </w:rPr>
        <w:tab/>
        <w:t>Title 12 of the 1976 Code is amended by adding:</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“CHAPTER 67</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South Carolina Abandoned Buildings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Revitalization Act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F57EED"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67</w:t>
      </w:r>
      <w:r>
        <w:rPr>
          <w:color w:val="000000" w:themeColor="text1"/>
          <w:u w:color="000000" w:themeColor="text1"/>
        </w:rPr>
        <w:noBreakHyphen/>
        <w:t>100.</w:t>
      </w:r>
      <w:r w:rsidR="003C08AE" w:rsidRPr="00F33A1D">
        <w:rPr>
          <w:color w:val="000000" w:themeColor="text1"/>
          <w:u w:color="000000" w:themeColor="text1"/>
        </w:rPr>
        <w:tab/>
      </w:r>
      <w:r>
        <w:rPr>
          <w:color w:val="000000" w:themeColor="text1"/>
          <w:u w:color="000000" w:themeColor="text1"/>
        </w:rPr>
        <w:tab/>
      </w:r>
      <w:r w:rsidR="003C08AE" w:rsidRPr="00F33A1D">
        <w:rPr>
          <w:color w:val="000000" w:themeColor="text1"/>
          <w:u w:color="000000" w:themeColor="text1"/>
        </w:rPr>
        <w:t xml:space="preserve">This chapter may be cited as the ‘South Carolina Abandoned Buildings Revitalization Act’.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F57EED"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67</w:t>
      </w:r>
      <w:r>
        <w:rPr>
          <w:color w:val="000000" w:themeColor="text1"/>
          <w:u w:color="000000" w:themeColor="text1"/>
        </w:rPr>
        <w:noBreakHyphen/>
        <w:t>110.</w:t>
      </w:r>
      <w:r w:rsidR="003C08AE" w:rsidRPr="00F33A1D">
        <w:rPr>
          <w:color w:val="000000" w:themeColor="text1"/>
          <w:u w:color="000000" w:themeColor="text1"/>
        </w:rPr>
        <w:tab/>
      </w:r>
      <w:r>
        <w:rPr>
          <w:color w:val="000000" w:themeColor="text1"/>
          <w:u w:color="000000" w:themeColor="text1"/>
        </w:rPr>
        <w:tab/>
      </w:r>
      <w:r w:rsidR="003C08AE" w:rsidRPr="00F33A1D">
        <w:rPr>
          <w:color w:val="000000" w:themeColor="text1"/>
          <w:u w:color="000000" w:themeColor="text1"/>
        </w:rPr>
        <w:t>(A)</w:t>
      </w:r>
      <w:r w:rsidR="003C08AE" w:rsidRPr="00F33A1D">
        <w:rPr>
          <w:color w:val="000000" w:themeColor="text1"/>
          <w:u w:color="000000" w:themeColor="text1"/>
        </w:rPr>
        <w:tab/>
        <w:t xml:space="preserve">The purpose of this chapter is to create an incentive for the rehabilitation, renovation, and redevelopment of abandoned buildings located in South Carolina.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F33A1D">
        <w:rPr>
          <w:color w:val="000000" w:themeColor="text1"/>
          <w:u w:color="000000" w:themeColor="text1"/>
        </w:rPr>
        <w:lastRenderedPageBreak/>
        <w:t>these buildings to productive assets for the communities in which they are located and result in increased job opportunities.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F33A1D">
        <w:rPr>
          <w:color w:val="000000" w:themeColor="text1"/>
          <w:u w:val="single" w:color="000000" w:themeColor="text1"/>
        </w:rPr>
        <w:t xml:space="preserv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120. </w:t>
      </w:r>
      <w:r w:rsidRPr="00F33A1D">
        <w:rPr>
          <w:color w:val="000000" w:themeColor="text1"/>
          <w:u w:color="000000" w:themeColor="text1"/>
        </w:rPr>
        <w:tab/>
        <w:t xml:space="preserve">For the purposes of this chapter, unless the context requires otherwise: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(1)</w:t>
      </w:r>
      <w:r w:rsidRPr="00F33A1D">
        <w:rPr>
          <w:color w:val="000000" w:themeColor="text1"/>
          <w:u w:color="000000" w:themeColor="text1"/>
        </w:rPr>
        <w:tab/>
        <w:t>‘Abandoned building’ means a building or structure, which clearly may be delineated from other buildings or structures, at least sixty</w:t>
      </w:r>
      <w:r w:rsidRPr="00F33A1D">
        <w:rPr>
          <w:color w:val="000000" w:themeColor="text1"/>
          <w:u w:color="000000" w:themeColor="text1"/>
        </w:rPr>
        <w:noBreakHyphen/>
        <w:t xml:space="preserve">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w:t>
      </w:r>
      <w:r w:rsidR="003C401B" w:rsidRPr="000478B5">
        <w:rPr>
          <w:color w:val="000000" w:themeColor="text1"/>
          <w:u w:color="000000" w:themeColor="text1"/>
        </w:rPr>
        <w:t>immediate preceding use as a single</w:t>
      </w:r>
      <w:r w:rsidR="003C401B">
        <w:rPr>
          <w:color w:val="000000" w:themeColor="text1"/>
          <w:u w:color="000000" w:themeColor="text1"/>
        </w:rPr>
        <w:noBreakHyphen/>
      </w:r>
      <w:r w:rsidR="003C401B" w:rsidRPr="000478B5">
        <w:rPr>
          <w:color w:val="000000" w:themeColor="text1"/>
          <w:u w:color="000000" w:themeColor="text1"/>
        </w:rPr>
        <w:t>family residence.</w:t>
      </w:r>
      <w:r w:rsidR="003C401B">
        <w:rPr>
          <w:color w:val="000000" w:themeColor="text1"/>
          <w:u w:color="000000" w:themeColor="text1"/>
        </w:rPr>
        <w:t xml:space="preserve"> </w:t>
      </w:r>
      <w:r w:rsidR="003C401B" w:rsidRPr="000478B5">
        <w:rPr>
          <w:color w:val="000000" w:themeColor="text1"/>
          <w:u w:color="000000" w:themeColor="text1"/>
        </w:rPr>
        <w:t xml:space="preserve"> </w:t>
      </w:r>
      <w:r w:rsidR="003C401B" w:rsidRPr="009E415D">
        <w:rPr>
          <w:color w:val="000000"/>
        </w:rPr>
        <w:t>For purposes of this item, use of any portion of a building or structure listed on the National Register for Historic Places when used solely for storage or warehouse purposes is considered nonoperational for income producing purposes</w:t>
      </w:r>
      <w:r w:rsidR="003C401B">
        <w:rPr>
          <w:color w:val="000000"/>
        </w:rPr>
        <w:t>;</w:t>
      </w:r>
      <w:r w:rsidR="003C401B" w:rsidRPr="009E415D">
        <w:rPr>
          <w:color w:val="000000"/>
        </w:rPr>
        <w:t xml:space="preserve"> provided</w:t>
      </w:r>
      <w:r w:rsidR="003C401B">
        <w:rPr>
          <w:color w:val="000000"/>
        </w:rPr>
        <w:t>,</w:t>
      </w:r>
      <w:r w:rsidR="003C401B" w:rsidRPr="009E415D">
        <w:rPr>
          <w:color w:val="000000"/>
        </w:rPr>
        <w:t xml:space="preserve"> however</w:t>
      </w:r>
      <w:r w:rsidR="003C401B">
        <w:rPr>
          <w:color w:val="000000"/>
        </w:rPr>
        <w:t>,</w:t>
      </w:r>
      <w:r w:rsidR="003C401B" w:rsidRPr="009E415D">
        <w:rPr>
          <w:color w:val="000000"/>
        </w:rPr>
        <w:t xml:space="preserve"> that the credit provided under </w:t>
      </w:r>
      <w:r w:rsidR="003C401B">
        <w:rPr>
          <w:color w:val="000000"/>
        </w:rPr>
        <w:t xml:space="preserve">Section </w:t>
      </w:r>
      <w:r w:rsidR="003C401B" w:rsidRPr="009E415D">
        <w:rPr>
          <w:color w:val="000000"/>
        </w:rPr>
        <w:t>12</w:t>
      </w:r>
      <w:r w:rsidR="003C401B">
        <w:rPr>
          <w:color w:val="000000"/>
        </w:rPr>
        <w:noBreakHyphen/>
      </w:r>
      <w:r w:rsidR="003C401B" w:rsidRPr="009E415D">
        <w:rPr>
          <w:color w:val="000000"/>
        </w:rPr>
        <w:t>67</w:t>
      </w:r>
      <w:r w:rsidR="003C401B">
        <w:rPr>
          <w:color w:val="000000"/>
        </w:rPr>
        <w:noBreakHyphen/>
      </w:r>
      <w:r w:rsidR="003C401B" w:rsidRPr="009E415D">
        <w:rPr>
          <w:color w:val="000000"/>
        </w:rPr>
        <w:t xml:space="preserve">140(B) is further limited </w:t>
      </w:r>
      <w:r w:rsidR="003C401B" w:rsidRPr="008F55E4">
        <w:rPr>
          <w:color w:val="000000"/>
        </w:rPr>
        <w:t xml:space="preserve">by disqualifying for credit purposes the portion of </w:t>
      </w:r>
      <w:r w:rsidR="003C401B" w:rsidRPr="008F55E4">
        <w:rPr>
          <w:color w:val="000000"/>
        </w:rPr>
        <w:lastRenderedPageBreak/>
        <w:t>the building or structure that was operational and used as a storage or warehouse for income producing purposes.  This limitation is calculated based on the actual percentage of the space which has been closed continuously to business or otherwise nonoperational for income producing purposes for a period of at least five years immediately preceding the date on which the taxpayer files a ‘Notice of Intent to Rehabilitate’ d</w:t>
      </w:r>
      <w:r w:rsidR="003C401B">
        <w:rPr>
          <w:color w:val="000000"/>
        </w:rPr>
        <w:t>ivided by one hundred percent.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(2)</w:t>
      </w:r>
      <w:r w:rsidRPr="00F33A1D">
        <w:rPr>
          <w:color w:val="000000" w:themeColor="text1"/>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(3)</w:t>
      </w:r>
      <w:r w:rsidRPr="00F33A1D">
        <w:rPr>
          <w:color w:val="000000" w:themeColor="text1"/>
          <w:u w:color="000000" w:themeColor="text1"/>
        </w:rPr>
        <w:tab/>
        <w:t xml:space="preserve">‘Local taxing entities’ means a county, municipality, school district, special purpose district, and other entity or district with the power to levy ad valorem property taxes against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(4)</w:t>
      </w:r>
      <w:r w:rsidRPr="00F33A1D">
        <w:rPr>
          <w:color w:val="000000" w:themeColor="text1"/>
          <w:u w:color="000000" w:themeColor="text1"/>
        </w:rPr>
        <w:tab/>
        <w:t xml:space="preserve">‘Local taxing entity ratio’ means that percentage computed by dividing the millage rate of each local taxing entity by the total millage rate for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(5)</w:t>
      </w:r>
      <w:r w:rsidRPr="00F33A1D">
        <w:rPr>
          <w:color w:val="000000" w:themeColor="text1"/>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(6)</w:t>
      </w:r>
      <w:r w:rsidRPr="00F33A1D">
        <w:rPr>
          <w:color w:val="000000" w:themeColor="text1"/>
          <w:u w:color="000000" w:themeColor="text1"/>
        </w:rPr>
        <w:tab/>
        <w:t xml:space="preserve">‘Rehabilitation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w:t>
      </w:r>
      <w:r w:rsidRPr="00F33A1D">
        <w:rPr>
          <w:color w:val="000000" w:themeColor="text1"/>
          <w:u w:color="000000" w:themeColor="text1"/>
        </w:rPr>
        <w:lastRenderedPageBreak/>
        <w:t>rehabilitation expense for purposes of calculating the amount of the credit if the building being demolished is on the National Register for Historic Places.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(7)</w:t>
      </w:r>
      <w:r w:rsidRPr="00F33A1D">
        <w:rPr>
          <w:color w:val="000000" w:themeColor="text1"/>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130.</w:t>
      </w:r>
      <w:r w:rsidRPr="00F33A1D">
        <w:rPr>
          <w:color w:val="000000" w:themeColor="text1"/>
          <w:u w:color="000000" w:themeColor="text1"/>
        </w:rPr>
        <w:tab/>
        <w:t>(A)</w:t>
      </w:r>
      <w:r w:rsidRPr="00F33A1D">
        <w:rPr>
          <w:color w:val="000000" w:themeColor="text1"/>
          <w:u w:color="000000" w:themeColor="text1"/>
        </w:rPr>
        <w:tab/>
        <w:t>This chapter only applies to abandoned building sites or phases or portions thereof put into operation in which a taxpayer incurs the following rehabilitation expenses: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F33A1D">
        <w:rPr>
          <w:color w:val="000000" w:themeColor="text1"/>
          <w:u w:color="000000" w:themeColor="text1"/>
        </w:rPr>
        <w:noBreakHyphen/>
        <w:t>five thousand persons;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F33A1D">
        <w:rPr>
          <w:color w:val="000000" w:themeColor="text1"/>
          <w:u w:color="000000" w:themeColor="text1"/>
        </w:rPr>
        <w:noBreakHyphen/>
        <w:t>five thousand persons based on the most recent official United States census; and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w:t>
      </w:r>
      <w:r w:rsidRPr="00F33A1D">
        <w:rPr>
          <w:color w:val="000000" w:themeColor="text1"/>
          <w:u w:color="000000" w:themeColor="text1"/>
        </w:rPr>
        <w:tab/>
        <w:t>more than seventy</w:t>
      </w:r>
      <w:r w:rsidRPr="00F33A1D">
        <w:rPr>
          <w:color w:val="000000" w:themeColor="text1"/>
          <w:u w:color="000000" w:themeColor="text1"/>
        </w:rPr>
        <w:noBreakHyphen/>
        <w:t xml:space="preserve">five thousand dollars for buildings located in a municipality with a population of less than one thousand persons based on the most recent official United States census.  </w:t>
      </w:r>
    </w:p>
    <w:p w:rsidR="003C08AE" w:rsidRPr="00F33A1D" w:rsidRDefault="003D2587"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9435C2">
        <w:rPr>
          <w:color w:val="000000" w:themeColor="text1"/>
          <w:u w:color="000000" w:themeColor="text1"/>
        </w:rPr>
        <w:t>his chapter only applies to abandoned building sites or phases or portions thereof put into operation for income producing purposes and that meet the purpose of this chapter set forth in Section 12</w:t>
      </w:r>
      <w:r>
        <w:rPr>
          <w:color w:val="000000" w:themeColor="text1"/>
          <w:u w:color="000000" w:themeColor="text1"/>
        </w:rPr>
        <w:noBreakHyphen/>
      </w:r>
      <w:r w:rsidRPr="009435C2">
        <w:rPr>
          <w:color w:val="000000" w:themeColor="text1"/>
          <w:u w:color="000000" w:themeColor="text1"/>
        </w:rPr>
        <w:t>67</w:t>
      </w:r>
      <w:r>
        <w:rPr>
          <w:color w:val="000000" w:themeColor="text1"/>
          <w:u w:color="000000" w:themeColor="text1"/>
        </w:rPr>
        <w:noBreakHyphen/>
      </w:r>
      <w:r w:rsidRPr="009435C2">
        <w:rPr>
          <w:color w:val="000000" w:themeColor="text1"/>
          <w:u w:color="000000" w:themeColor="text1"/>
        </w:rPr>
        <w:t xml:space="preserve">110.  </w:t>
      </w:r>
      <w:r>
        <w:rPr>
          <w:color w:val="000000" w:themeColor="text1"/>
          <w:u w:color="000000" w:themeColor="text1"/>
        </w:rPr>
        <w:t>T</w:t>
      </w:r>
      <w:r w:rsidRPr="009435C2">
        <w:rPr>
          <w:color w:val="000000" w:themeColor="text1"/>
          <w:u w:color="000000" w:themeColor="text1"/>
        </w:rPr>
        <w:t xml:space="preserve">he construction or operation of a charter school, </w:t>
      </w:r>
      <w:r>
        <w:rPr>
          <w:color w:val="000000" w:themeColor="text1"/>
          <w:u w:color="000000" w:themeColor="text1"/>
        </w:rPr>
        <w:t xml:space="preserve">private or </w:t>
      </w:r>
      <w:r w:rsidRPr="009435C2">
        <w:rPr>
          <w:color w:val="000000" w:themeColor="text1"/>
          <w:u w:color="000000" w:themeColor="text1"/>
        </w:rPr>
        <w:t>parochial school, or other similar educational institution does meet the purpose of this chapter.  The construction of a single</w:t>
      </w:r>
      <w:r>
        <w:rPr>
          <w:color w:val="000000" w:themeColor="text1"/>
          <w:u w:color="000000" w:themeColor="text1"/>
        </w:rPr>
        <w:noBreakHyphen/>
      </w:r>
      <w:r w:rsidRPr="009435C2">
        <w:rPr>
          <w:color w:val="000000" w:themeColor="text1"/>
          <w:u w:color="000000" w:themeColor="text1"/>
        </w:rPr>
        <w:t xml:space="preserve">family residence is not an income producing purpose and does not meet the purpose of this chapter.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140. </w:t>
      </w:r>
      <w:r w:rsidRPr="00F33A1D">
        <w:rPr>
          <w:color w:val="000000" w:themeColor="text1"/>
          <w:u w:color="000000" w:themeColor="text1"/>
        </w:rPr>
        <w:tab/>
        <w:t>(A)</w:t>
      </w:r>
      <w:r w:rsidRPr="00F33A1D">
        <w:rPr>
          <w:color w:val="000000" w:themeColor="text1"/>
          <w:u w:color="000000" w:themeColor="text1"/>
        </w:rPr>
        <w:tab/>
        <w:t xml:space="preserve">Subject to the terms and conditions of this chapter, a taxpayer who rehabilitates an abandoned building is eligible for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(1)</w:t>
      </w:r>
      <w:r w:rsidRPr="00F33A1D">
        <w:rPr>
          <w:color w:val="000000" w:themeColor="text1"/>
          <w:u w:color="000000" w:themeColor="text1"/>
        </w:rPr>
        <w:tab/>
        <w:t>a credit against income taxes imposed pursuant to Chapter 6 and Chapter 11 of this title</w:t>
      </w:r>
      <w:r>
        <w:rPr>
          <w:color w:val="000000" w:themeColor="text1"/>
          <w:u w:color="000000" w:themeColor="text1"/>
        </w:rPr>
        <w:t>,</w:t>
      </w:r>
      <w:r w:rsidRPr="00F33A1D">
        <w:rPr>
          <w:color w:val="000000" w:themeColor="text1"/>
          <w:u w:color="000000" w:themeColor="text1"/>
        </w:rPr>
        <w:t xml:space="preserve"> corporate license fees pursuant to Chapter 20 of this title, </w:t>
      </w:r>
      <w:r>
        <w:rPr>
          <w:color w:val="000000" w:themeColor="text1"/>
          <w:u w:color="000000" w:themeColor="text1"/>
        </w:rPr>
        <w:t xml:space="preserve">or taxes on associations pursuant to Chapter 13 of this title, </w:t>
      </w:r>
      <w:r w:rsidRPr="00F33A1D">
        <w:rPr>
          <w:color w:val="000000" w:themeColor="text1"/>
          <w:u w:color="000000" w:themeColor="text1"/>
        </w:rPr>
        <w:t xml:space="preserve">or </w:t>
      </w:r>
      <w:r>
        <w:rPr>
          <w:color w:val="000000" w:themeColor="text1"/>
          <w:u w:color="000000" w:themeColor="text1"/>
        </w:rPr>
        <w:t>a combination thereof</w:t>
      </w:r>
      <w:r w:rsidRPr="00F33A1D">
        <w:rPr>
          <w:color w:val="000000" w:themeColor="text1"/>
          <w:u w:color="000000" w:themeColor="text1"/>
        </w:rPr>
        <w:t xml:space="preserve">;  or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 xml:space="preserve">a credit against real property taxes levied by local taxing entities.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If the taxpayer elects to receive the credit pursuant to subsection (A)(1),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Pr="00F33A1D">
        <w:rPr>
          <w:color w:val="000000" w:themeColor="text1"/>
          <w:u w:color="000000" w:themeColor="text1"/>
        </w:rPr>
        <w:noBreakHyphen/>
        <w:t>year period beginning with the tax year in which the applicable phase or portion of the building site is placed in service.  Unused credit may be carried forward for the succeeding five years.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entire credit earned pursuant to this item may not exceed </w:t>
      </w:r>
      <w:r>
        <w:rPr>
          <w:color w:val="000000" w:themeColor="text1"/>
          <w:u w:color="000000" w:themeColor="text1"/>
        </w:rPr>
        <w:t>five</w:t>
      </w:r>
      <w:r w:rsidRPr="00F33A1D">
        <w:rPr>
          <w:color w:val="000000" w:themeColor="text1"/>
          <w:u w:color="000000" w:themeColor="text1"/>
        </w:rPr>
        <w:t xml:space="preserve"> hundred thousand dollars for any taxpayer in a tax year for each abandoned building site.  The limitation provided in this subitem applies to each unit or parcel deemed to be an abandoned building site.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If the taxpayer qualifies for both the credit allowed by this section and the credit allowed pursuant to the Textiles Communities Revitalization Act or the Retail Facilities Revitalization Act, the taxpayer only may claim one of the t</w:t>
      </w:r>
      <w:r>
        <w:rPr>
          <w:color w:val="000000" w:themeColor="text1"/>
          <w:u w:color="000000" w:themeColor="text1"/>
        </w:rPr>
        <w:t>hree</w:t>
      </w:r>
      <w:r w:rsidRPr="00F33A1D">
        <w:rPr>
          <w:color w:val="000000" w:themeColor="text1"/>
          <w:u w:color="000000" w:themeColor="text1"/>
        </w:rPr>
        <w:t xml:space="preserve"> credits.  However, the taxpayer is not disqualified from claiming </w:t>
      </w:r>
      <w:r w:rsidRPr="00F33A1D">
        <w:rPr>
          <w:color w:val="000000" w:themeColor="text1"/>
          <w:u w:color="000000" w:themeColor="text1"/>
        </w:rPr>
        <w:lastRenderedPageBreak/>
        <w:t>any other tax credit in conjunction with the credit allowed by this section.</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 xml:space="preserve">The credit allowed by this subsection is limited in use to fifty percent of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(a)</w:t>
      </w:r>
      <w:r w:rsidRPr="00F33A1D">
        <w:rPr>
          <w:color w:val="000000" w:themeColor="text1"/>
          <w:u w:color="000000" w:themeColor="text1"/>
        </w:rPr>
        <w:tab/>
        <w:t>the taxpayer’s income tax liability for the taxable year if taxpayer claims the credit allowed by this section as a credit against income tax imposed pursuant to Chapter 6 or Chapter 11 of this title</w:t>
      </w:r>
      <w:r>
        <w:rPr>
          <w:color w:val="000000" w:themeColor="text1"/>
          <w:u w:color="000000" w:themeColor="text1"/>
        </w:rPr>
        <w:t xml:space="preserve">, or taxes on associations pursuant to Chapter 13 of this title, </w:t>
      </w:r>
      <w:r w:rsidRPr="00F33A1D">
        <w:rPr>
          <w:color w:val="000000" w:themeColor="text1"/>
          <w:u w:color="000000" w:themeColor="text1"/>
        </w:rPr>
        <w:t xml:space="preserve">or </w:t>
      </w:r>
      <w:r>
        <w:rPr>
          <w:color w:val="000000" w:themeColor="text1"/>
          <w:u w:color="000000" w:themeColor="text1"/>
        </w:rPr>
        <w:t>both</w:t>
      </w:r>
      <w:r w:rsidRPr="00F33A1D">
        <w:rPr>
          <w:color w:val="000000" w:themeColor="text1"/>
          <w:u w:color="000000" w:themeColor="text1"/>
        </w:rPr>
        <w:t>; or</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taxpayer’s corporate license fees for the taxable year if the taxpayer claims the credit allowed by this section as a credit against license fees imposed pursuant to Chapter 20.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(6)(a)</w:t>
      </w:r>
      <w:r w:rsidRPr="00F33A1D">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To the extent that the taxpayer transfers the credit, the taxpayer shall notify the department of the transfer in the manner the department prescribes.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(7)</w:t>
      </w:r>
      <w:r w:rsidRPr="00F33A1D">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 xml:space="preserve">If the taxpayer elects to receive the credit pursuant to subsection (A)(2),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(2)</w:t>
      </w:r>
      <w:r w:rsidRPr="00F33A1D">
        <w:rPr>
          <w:color w:val="000000" w:themeColor="text1"/>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F33A1D">
        <w:rPr>
          <w:color w:val="000000" w:themeColor="text1"/>
          <w:u w:color="000000" w:themeColor="text1"/>
        </w:rPr>
        <w:noBreakHyphen/>
        <w:t>1</w:t>
      </w:r>
      <w:r w:rsidRPr="00F33A1D">
        <w:rPr>
          <w:color w:val="000000" w:themeColor="text1"/>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F33A1D">
        <w:rPr>
          <w:color w:val="000000" w:themeColor="text1"/>
          <w:u w:color="000000" w:themeColor="text1"/>
        </w:rPr>
        <w:noBreakHyphen/>
        <w:t xml:space="preserve">five percent of the real property taxes due on the building site each year for up to eight years.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Not fewer than forty</w:t>
      </w:r>
      <w:r w:rsidRPr="00F33A1D">
        <w:rPr>
          <w:color w:val="000000" w:themeColor="text1"/>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w:t>
      </w:r>
      <w:r w:rsidRPr="00F33A1D">
        <w:rPr>
          <w:color w:val="000000" w:themeColor="text1"/>
          <w:u w:color="000000" w:themeColor="text1"/>
        </w:rPr>
        <w:lastRenderedPageBreak/>
        <w:t xml:space="preserve">estimated rehabilitation expenses.  If a local taxing entity does not file an objection to the tax credit with the municipality or county on or before the date of the public hearing, the local taxing entity is considered to have consented to the tax credit.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(D)</w:t>
      </w:r>
      <w:r w:rsidRPr="00F33A1D">
        <w:rPr>
          <w:color w:val="000000" w:themeColor="text1"/>
          <w:u w:color="000000" w:themeColor="text1"/>
        </w:rPr>
        <w:tab/>
        <w:t>A taxpayer is not eligible for the credit if the taxpayer owned the otherwise eligible building site when the site was operational and immediately prior to its abandonment.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w:t>
      </w:r>
      <w:r w:rsidRPr="00F33A1D">
        <w:rPr>
          <w:color w:val="000000" w:themeColor="text1"/>
          <w:u w:color="000000" w:themeColor="text1"/>
        </w:rPr>
        <w:tab/>
        <w:t>12</w:t>
      </w:r>
      <w:r w:rsidRPr="00F33A1D">
        <w:rPr>
          <w:color w:val="000000" w:themeColor="text1"/>
          <w:u w:color="000000" w:themeColor="text1"/>
        </w:rPr>
        <w:noBreakHyphen/>
        <w:t>67</w:t>
      </w:r>
      <w:r w:rsidRPr="00F33A1D">
        <w:rPr>
          <w:color w:val="000000" w:themeColor="text1"/>
          <w:u w:color="000000" w:themeColor="text1"/>
        </w:rPr>
        <w:noBreakHyphen/>
        <w:t>150.</w:t>
      </w:r>
      <w:r w:rsidR="00F57EED">
        <w:rPr>
          <w:color w:val="000000" w:themeColor="text1"/>
          <w:u w:color="000000" w:themeColor="text1"/>
        </w:rPr>
        <w:tab/>
      </w:r>
      <w:r w:rsidR="00F57EED">
        <w:rPr>
          <w:color w:val="000000" w:themeColor="text1"/>
          <w:u w:color="000000" w:themeColor="text1"/>
        </w:rPr>
        <w:tab/>
      </w:r>
      <w:r w:rsidRPr="00F33A1D">
        <w:rPr>
          <w:color w:val="000000" w:themeColor="text1"/>
          <w:u w:color="000000" w:themeColor="text1"/>
        </w:rPr>
        <w:t>The provisions of Chapter 31, Title 6 also apply to this chapter, except that the requirements of Section 6</w:t>
      </w:r>
      <w:r w:rsidRPr="00F33A1D">
        <w:rPr>
          <w:color w:val="000000" w:themeColor="text1"/>
          <w:u w:color="000000" w:themeColor="text1"/>
        </w:rPr>
        <w:noBreakHyphen/>
        <w:t>31</w:t>
      </w:r>
      <w:r w:rsidRPr="00F33A1D">
        <w:rPr>
          <w:color w:val="000000" w:themeColor="text1"/>
          <w:u w:color="000000" w:themeColor="text1"/>
        </w:rPr>
        <w:noBreakHyphen/>
        <w:t>40 do not apply.”</w:t>
      </w: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Pr>
          <w:color w:val="000000" w:themeColor="text1"/>
        </w:rPr>
        <w:tab/>
        <w:t>The provisions of Chapter 67, Title 12 contained in this act are repealed on December 31, 2019.  Any carry forward credits shall continue to be allowed until the five year time period in Section 12</w:t>
      </w:r>
      <w:r>
        <w:rPr>
          <w:color w:val="000000" w:themeColor="text1"/>
        </w:rPr>
        <w:noBreakHyphen/>
        <w:t>67</w:t>
      </w:r>
      <w:r>
        <w:rPr>
          <w:color w:val="000000" w:themeColor="text1"/>
        </w:rPr>
        <w:noBreakHyphen/>
        <w:t>140 is completed.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2.</w:t>
      </w:r>
      <w:r w:rsidRPr="00F33A1D">
        <w:rPr>
          <w:color w:val="000000" w:themeColor="text1"/>
          <w:u w:color="000000" w:themeColor="text1"/>
        </w:rPr>
        <w:tab/>
        <w:t>This act takes effect upon approval by the Governor, and applies to the rehabilitation, renovation, and redevelopment of abandoned buildings begun after the effective date of this chapter which are undertaken in conformity with the provisions of this act.</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E67903">
      <w:pPr>
        <w:suppressAutoHyphens/>
      </w:pPr>
    </w:p>
    <w:sectPr w:rsidR="0029283D" w:rsidSect="008268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EED" w:rsidRDefault="00F57EED" w:rsidP="009F0C77">
      <w:r>
        <w:separator/>
      </w:r>
    </w:p>
  </w:endnote>
  <w:endnote w:type="continuationSeparator" w:id="0">
    <w:p w:rsidR="00F57EED" w:rsidRDefault="00F57EED"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D29CC229-E0F3-454E-B2A7-E9F40034F54E}"/>
  </w:font>
  <w:font w:name="Times New Roman">
    <w:panose1 w:val="02020603050405020304"/>
    <w:charset w:val="00"/>
    <w:family w:val="roman"/>
    <w:pitch w:val="variable"/>
    <w:sig w:usb0="20002A87" w:usb1="80000000" w:usb2="00000008" w:usb3="00000000" w:csb0="000001FF" w:csb1="00000000"/>
    <w:embedRegular r:id="rId2" w:fontKey="{0D6A588A-8CBA-4562-80ED-9FA4D6C9345D}"/>
    <w:embedBold r:id="rId3" w:fontKey="{B7B0A67A-7309-4945-AC0E-1F341ED430CD}"/>
    <w:embedItalic r:id="rId4" w:fontKey="{C4A1F973-E088-4EDC-B983-EA040484F0FF}"/>
  </w:font>
  <w:font w:name="Courier New">
    <w:panose1 w:val="02070309020205020404"/>
    <w:charset w:val="00"/>
    <w:family w:val="modern"/>
    <w:pitch w:val="fixed"/>
    <w:sig w:usb0="20002A87" w:usb1="80000000" w:usb2="00000008" w:usb3="00000000" w:csb0="000001FF" w:csb1="00000000"/>
    <w:embedRegular r:id="rId5" w:fontKey="{AE707D55-31AD-4716-BCDD-2063255C830F}"/>
  </w:font>
  <w:font w:name="Wingdings">
    <w:panose1 w:val="05000000000000000000"/>
    <w:charset w:val="02"/>
    <w:family w:val="auto"/>
    <w:pitch w:val="variable"/>
    <w:sig w:usb0="00000000" w:usb1="10000000" w:usb2="00000000" w:usb3="00000000" w:csb0="80000000" w:csb1="00000000"/>
    <w:embedRegular r:id="rId6" w:fontKey="{FF0C20FC-E96E-4EB3-A934-2238B04B5050}"/>
  </w:font>
  <w:font w:name="Calibri">
    <w:panose1 w:val="020F0502020204030204"/>
    <w:charset w:val="00"/>
    <w:family w:val="swiss"/>
    <w:pitch w:val="variable"/>
    <w:sig w:usb0="E10002FF" w:usb1="4000ACFF" w:usb2="00000009" w:usb3="00000000" w:csb0="0000019F" w:csb1="00000000"/>
    <w:embedRegular r:id="rId7" w:fontKey="{69EBBE79-5576-4B91-AC0C-E64BD1EC673D}"/>
  </w:font>
  <w:font w:name="Arial">
    <w:panose1 w:val="020B0604020202020204"/>
    <w:charset w:val="00"/>
    <w:family w:val="swiss"/>
    <w:pitch w:val="variable"/>
    <w:sig w:usb0="20002A87" w:usb1="80000000" w:usb2="00000008" w:usb3="00000000" w:csb0="000001FF" w:csb1="00000000"/>
    <w:embedRegular r:id="rId8" w:fontKey="{63DFF776-1C66-4535-B611-4461074E8F25}"/>
    <w:embedBold r:id="rId9" w:fontKey="{FF889335-14D0-4E39-8AC5-16EBA0BA867D}"/>
  </w:font>
  <w:font w:name="Cambria">
    <w:panose1 w:val="02040503050406030204"/>
    <w:charset w:val="00"/>
    <w:family w:val="roman"/>
    <w:pitch w:val="variable"/>
    <w:sig w:usb0="E00002FF" w:usb1="400004FF" w:usb2="00000000" w:usb3="00000000" w:csb0="0000019F" w:csb1="00000000"/>
    <w:embedRegular r:id="rId10" w:fontKey="{C3EB4A78-5A2B-4BFB-B0EA-164E672A2F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EED" w:rsidRPr="0029283D" w:rsidRDefault="00F57EED" w:rsidP="0029283D">
    <w:pPr>
      <w:pStyle w:val="Footer"/>
      <w:tabs>
        <w:tab w:val="clear" w:pos="4680"/>
        <w:tab w:val="clear" w:pos="9360"/>
        <w:tab w:val="center" w:pos="2995"/>
      </w:tabs>
      <w:spacing w:before="120"/>
    </w:pPr>
    <w:r>
      <w:t>[234-</w:t>
    </w:r>
    <w:fldSimple w:instr=" PAGE  \* MERGEFORMAT ">
      <w:r w:rsidR="00E67903">
        <w:rPr>
          <w:noProof/>
        </w:rPr>
        <w:t>13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EED" w:rsidRPr="0029283D" w:rsidRDefault="00F57EED" w:rsidP="0029283D">
    <w:pPr>
      <w:pStyle w:val="Footer"/>
      <w:tabs>
        <w:tab w:val="clear" w:pos="4680"/>
        <w:tab w:val="clear" w:pos="9360"/>
        <w:tab w:val="center" w:pos="2995"/>
      </w:tabs>
      <w:spacing w:before="120"/>
    </w:pPr>
    <w:r>
      <w:t>[234]</w:t>
    </w:r>
    <w:r>
      <w:tab/>
    </w:r>
    <w:fldSimple w:instr=" PAGE  \* MERGEFORMAT ">
      <w:r w:rsidR="00E679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EED" w:rsidRDefault="00F57EED" w:rsidP="009F0C77">
      <w:r>
        <w:separator/>
      </w:r>
    </w:p>
  </w:footnote>
  <w:footnote w:type="continuationSeparator" w:id="0">
    <w:p w:rsidR="00F57EED" w:rsidRDefault="00F57EED"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23548"/>
    <w:multiLevelType w:val="hybridMultilevel"/>
    <w:tmpl w:val="77AA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5B4DA5"/>
    <w:multiLevelType w:val="hybridMultilevel"/>
    <w:tmpl w:val="54D4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A1AC7"/>
    <w:rsid w:val="000E1785"/>
    <w:rsid w:val="000E54A1"/>
    <w:rsid w:val="001023A4"/>
    <w:rsid w:val="0010776B"/>
    <w:rsid w:val="00133E66"/>
    <w:rsid w:val="00134ACF"/>
    <w:rsid w:val="00144E15"/>
    <w:rsid w:val="00165D7B"/>
    <w:rsid w:val="001A4A62"/>
    <w:rsid w:val="001A681E"/>
    <w:rsid w:val="001D08F2"/>
    <w:rsid w:val="002037CA"/>
    <w:rsid w:val="002047A2"/>
    <w:rsid w:val="00206EA4"/>
    <w:rsid w:val="002321B6"/>
    <w:rsid w:val="0023696B"/>
    <w:rsid w:val="00250967"/>
    <w:rsid w:val="002759C5"/>
    <w:rsid w:val="00277DEE"/>
    <w:rsid w:val="00280D88"/>
    <w:rsid w:val="002922F0"/>
    <w:rsid w:val="0029283D"/>
    <w:rsid w:val="00294ABE"/>
    <w:rsid w:val="002A3EB4"/>
    <w:rsid w:val="003139B4"/>
    <w:rsid w:val="00325348"/>
    <w:rsid w:val="00393688"/>
    <w:rsid w:val="003C08AE"/>
    <w:rsid w:val="003C401B"/>
    <w:rsid w:val="003D1331"/>
    <w:rsid w:val="003D2587"/>
    <w:rsid w:val="003D411E"/>
    <w:rsid w:val="003E3C1E"/>
    <w:rsid w:val="003E6148"/>
    <w:rsid w:val="00400EAA"/>
    <w:rsid w:val="00411127"/>
    <w:rsid w:val="0041760A"/>
    <w:rsid w:val="004777E8"/>
    <w:rsid w:val="004809EE"/>
    <w:rsid w:val="00493E7E"/>
    <w:rsid w:val="004B5C0E"/>
    <w:rsid w:val="004E3735"/>
    <w:rsid w:val="00511EE9"/>
    <w:rsid w:val="00521E00"/>
    <w:rsid w:val="00577C6C"/>
    <w:rsid w:val="0058501B"/>
    <w:rsid w:val="006215AA"/>
    <w:rsid w:val="006340D9"/>
    <w:rsid w:val="00643B8E"/>
    <w:rsid w:val="00665EBC"/>
    <w:rsid w:val="0069470D"/>
    <w:rsid w:val="006A476C"/>
    <w:rsid w:val="006C6A93"/>
    <w:rsid w:val="006E02F9"/>
    <w:rsid w:val="00733490"/>
    <w:rsid w:val="00753C04"/>
    <w:rsid w:val="00756946"/>
    <w:rsid w:val="00757F80"/>
    <w:rsid w:val="00771EEC"/>
    <w:rsid w:val="00786819"/>
    <w:rsid w:val="00790453"/>
    <w:rsid w:val="007A325A"/>
    <w:rsid w:val="007A663E"/>
    <w:rsid w:val="007F1523"/>
    <w:rsid w:val="007F509E"/>
    <w:rsid w:val="007F5799"/>
    <w:rsid w:val="007F6947"/>
    <w:rsid w:val="00826899"/>
    <w:rsid w:val="00872729"/>
    <w:rsid w:val="008B0C3A"/>
    <w:rsid w:val="008E4008"/>
    <w:rsid w:val="008F4429"/>
    <w:rsid w:val="0091612F"/>
    <w:rsid w:val="009352BB"/>
    <w:rsid w:val="00970181"/>
    <w:rsid w:val="00990668"/>
    <w:rsid w:val="009F0C77"/>
    <w:rsid w:val="009F4DD1"/>
    <w:rsid w:val="00A64E80"/>
    <w:rsid w:val="00A741D9"/>
    <w:rsid w:val="00A9741D"/>
    <w:rsid w:val="00AC7B63"/>
    <w:rsid w:val="00AD4B17"/>
    <w:rsid w:val="00AD544F"/>
    <w:rsid w:val="00B26FA6"/>
    <w:rsid w:val="00B273B8"/>
    <w:rsid w:val="00B27952"/>
    <w:rsid w:val="00B741CB"/>
    <w:rsid w:val="00B934F3"/>
    <w:rsid w:val="00BB0D7A"/>
    <w:rsid w:val="00BB6347"/>
    <w:rsid w:val="00BD2134"/>
    <w:rsid w:val="00C038D8"/>
    <w:rsid w:val="00C045DD"/>
    <w:rsid w:val="00C3136F"/>
    <w:rsid w:val="00C3483A"/>
    <w:rsid w:val="00C74E9D"/>
    <w:rsid w:val="00C769F7"/>
    <w:rsid w:val="00C82FD3"/>
    <w:rsid w:val="00CC6B7B"/>
    <w:rsid w:val="00CD3619"/>
    <w:rsid w:val="00CF4447"/>
    <w:rsid w:val="00D405E7"/>
    <w:rsid w:val="00D41D56"/>
    <w:rsid w:val="00D6034E"/>
    <w:rsid w:val="00D6260D"/>
    <w:rsid w:val="00D6662B"/>
    <w:rsid w:val="00D95E2F"/>
    <w:rsid w:val="00D970A9"/>
    <w:rsid w:val="00DB3AC0"/>
    <w:rsid w:val="00DE68F0"/>
    <w:rsid w:val="00DF3845"/>
    <w:rsid w:val="00DF7E17"/>
    <w:rsid w:val="00E15473"/>
    <w:rsid w:val="00E628A3"/>
    <w:rsid w:val="00E67903"/>
    <w:rsid w:val="00EB00A2"/>
    <w:rsid w:val="00EB1BF3"/>
    <w:rsid w:val="00EF3EEE"/>
    <w:rsid w:val="00F149A7"/>
    <w:rsid w:val="00F50BAF"/>
    <w:rsid w:val="00F52C10"/>
    <w:rsid w:val="00F57EE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F57EE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 w:type="character" w:customStyle="1" w:styleId="Heading2Char">
    <w:name w:val="Heading 2 Char"/>
    <w:basedOn w:val="DefaultParagraphFont"/>
    <w:link w:val="Heading2"/>
    <w:rsid w:val="00F57EED"/>
    <w:rPr>
      <w:rFonts w:ascii="Arial" w:eastAsia="Times New Roman" w:hAnsi="Arial" w:cs="Times New Roman"/>
      <w:b/>
      <w:snapToGrid w:val="0"/>
      <w:sz w:val="24"/>
      <w:szCs w:val="20"/>
    </w:rPr>
  </w:style>
  <w:style w:type="paragraph" w:styleId="BodyText">
    <w:name w:val="Body Text"/>
    <w:basedOn w:val="Normal"/>
    <w:link w:val="BodyTextChar"/>
    <w:rsid w:val="00F57EED"/>
    <w:pPr>
      <w:widowControl w:val="0"/>
    </w:pPr>
    <w:rPr>
      <w:rFonts w:ascii="Arial" w:hAnsi="Arial"/>
      <w:snapToGrid w:val="0"/>
      <w:sz w:val="24"/>
    </w:rPr>
  </w:style>
  <w:style w:type="character" w:customStyle="1" w:styleId="BodyTextChar">
    <w:name w:val="Body Text Char"/>
    <w:basedOn w:val="DefaultParagraphFont"/>
    <w:link w:val="BodyText"/>
    <w:rsid w:val="00F57EED"/>
    <w:rPr>
      <w:rFonts w:ascii="Arial" w:eastAsia="Times New Roman" w:hAnsi="Arial" w:cs="Times New Roman"/>
      <w:snapToGrid w:val="0"/>
      <w:sz w:val="24"/>
      <w:szCs w:val="20"/>
    </w:rPr>
  </w:style>
  <w:style w:type="paragraph" w:styleId="NoSpacing">
    <w:name w:val="No Spacing"/>
    <w:uiPriority w:val="1"/>
    <w:qFormat/>
    <w:rsid w:val="00F57EE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CC631-89D1-40B2-A291-F2C24AF4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8052</Words>
  <Characters>41796</Characters>
  <Application>Microsoft Office Word</Application>
  <DocSecurity>0</DocSecurity>
  <Lines>908</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2014-05-15T23:26:00Z</cp:lastPrinted>
  <dcterms:created xsi:type="dcterms:W3CDTF">2014-05-15T23:28:00Z</dcterms:created>
  <dcterms:modified xsi:type="dcterms:W3CDTF">2014-05-15T23:28:00Z</dcterms:modified>
</cp:coreProperties>
</file>