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EED" w:rsidRDefault="00F57EED" w:rsidP="00BB0D7A">
      <w:pPr>
        <w:pStyle w:val="BillDots0"/>
      </w:pPr>
      <w:r>
        <w:rPr>
          <w:strike/>
        </w:rPr>
        <w:t>Indicates Matter Stricken</w:t>
      </w:r>
    </w:p>
    <w:p w:rsidR="00F57EED" w:rsidRPr="00F57EED" w:rsidRDefault="00F57EED" w:rsidP="00BB0D7A">
      <w:pPr>
        <w:pStyle w:val="BillDots0"/>
      </w:pPr>
      <w:r>
        <w:rPr>
          <w:u w:val="single"/>
        </w:rPr>
        <w:t>Indicates New Matter</w:t>
      </w:r>
    </w:p>
    <w:p w:rsidR="00F57EED" w:rsidRDefault="00F57EED" w:rsidP="00BB0D7A">
      <w:pPr>
        <w:pStyle w:val="BillDots0"/>
      </w:pPr>
    </w:p>
    <w:p w:rsidR="00030D95" w:rsidRDefault="00030D95" w:rsidP="00F57EED">
      <w:pPr>
        <w:pStyle w:val="BillDots0"/>
        <w:tabs>
          <w:tab w:val="clear" w:pos="216"/>
          <w:tab w:val="clear" w:pos="432"/>
          <w:tab w:val="clear" w:pos="648"/>
          <w:tab w:val="clear" w:pos="864"/>
          <w:tab w:val="clear" w:pos="1080"/>
          <w:tab w:val="clear" w:pos="1296"/>
          <w:tab w:val="clear" w:pos="5904"/>
          <w:tab w:val="right" w:pos="5933"/>
        </w:tabs>
      </w:pPr>
    </w:p>
    <w:p w:rsidR="00030D95" w:rsidRDefault="00030D95" w:rsidP="00F57EED">
      <w:pPr>
        <w:pStyle w:val="BillDots0"/>
        <w:tabs>
          <w:tab w:val="clear" w:pos="216"/>
          <w:tab w:val="clear" w:pos="432"/>
          <w:tab w:val="clear" w:pos="648"/>
          <w:tab w:val="clear" w:pos="864"/>
          <w:tab w:val="clear" w:pos="1080"/>
          <w:tab w:val="clear" w:pos="1296"/>
          <w:tab w:val="clear" w:pos="5904"/>
          <w:tab w:val="right" w:pos="5933"/>
        </w:tabs>
      </w:pPr>
      <w:r>
        <w:t>AMENDED--NOT PRINTED IN THE HOUSE</w:t>
      </w:r>
    </w:p>
    <w:p w:rsidR="00030D95" w:rsidRDefault="00030D95" w:rsidP="00F57EED">
      <w:pPr>
        <w:pStyle w:val="BillDots0"/>
        <w:tabs>
          <w:tab w:val="clear" w:pos="216"/>
          <w:tab w:val="clear" w:pos="432"/>
          <w:tab w:val="clear" w:pos="648"/>
          <w:tab w:val="clear" w:pos="864"/>
          <w:tab w:val="clear" w:pos="1080"/>
          <w:tab w:val="clear" w:pos="1296"/>
          <w:tab w:val="clear" w:pos="5904"/>
          <w:tab w:val="right" w:pos="5933"/>
        </w:tabs>
      </w:pPr>
      <w:r>
        <w:t>Amt. No. 1 (234c007.bh.dg14)</w:t>
      </w:r>
    </w:p>
    <w:p w:rsidR="00030D95" w:rsidRDefault="00030D95" w:rsidP="00F57EED">
      <w:pPr>
        <w:pStyle w:val="BillDots0"/>
        <w:tabs>
          <w:tab w:val="clear" w:pos="216"/>
          <w:tab w:val="clear" w:pos="432"/>
          <w:tab w:val="clear" w:pos="648"/>
          <w:tab w:val="clear" w:pos="864"/>
          <w:tab w:val="clear" w:pos="1080"/>
          <w:tab w:val="clear" w:pos="1296"/>
          <w:tab w:val="clear" w:pos="5904"/>
          <w:tab w:val="right" w:pos="5933"/>
        </w:tabs>
      </w:pPr>
      <w:r>
        <w:t>June 3, 2014</w:t>
      </w:r>
    </w:p>
    <w:p w:rsidR="00030D95" w:rsidRDefault="00030D95" w:rsidP="00F57EED">
      <w:pPr>
        <w:pStyle w:val="BillDots0"/>
        <w:tabs>
          <w:tab w:val="clear" w:pos="216"/>
          <w:tab w:val="clear" w:pos="432"/>
          <w:tab w:val="clear" w:pos="648"/>
          <w:tab w:val="clear" w:pos="864"/>
          <w:tab w:val="clear" w:pos="1080"/>
          <w:tab w:val="clear" w:pos="1296"/>
          <w:tab w:val="clear" w:pos="5904"/>
          <w:tab w:val="right" w:pos="5933"/>
        </w:tabs>
      </w:pPr>
    </w:p>
    <w:p w:rsidR="00F57EED" w:rsidRPr="00F57EED" w:rsidRDefault="00F57EED" w:rsidP="00F57EED">
      <w:pPr>
        <w:pStyle w:val="BillDots0"/>
        <w:tabs>
          <w:tab w:val="clear" w:pos="216"/>
          <w:tab w:val="clear" w:pos="432"/>
          <w:tab w:val="clear" w:pos="648"/>
          <w:tab w:val="clear" w:pos="864"/>
          <w:tab w:val="clear" w:pos="1080"/>
          <w:tab w:val="clear" w:pos="1296"/>
          <w:tab w:val="clear" w:pos="5904"/>
          <w:tab w:val="right" w:pos="5933"/>
        </w:tabs>
      </w:pPr>
      <w:r>
        <w:tab/>
      </w:r>
      <w:r>
        <w:rPr>
          <w:b/>
          <w:sz w:val="36"/>
        </w:rPr>
        <w:t>S. 234</w:t>
      </w:r>
    </w:p>
    <w:p w:rsidR="00F57EED" w:rsidRDefault="00F57EED" w:rsidP="00BB0D7A">
      <w:pPr>
        <w:pStyle w:val="BillDots0"/>
      </w:pPr>
    </w:p>
    <w:p w:rsidR="00F57EED" w:rsidRDefault="00F57EED" w:rsidP="00F57EED">
      <w:pPr>
        <w:pStyle w:val="BillDots0"/>
        <w:jc w:val="center"/>
      </w:pPr>
      <w:r>
        <w:t>Introduced by Senators Coleman, Johnson and McElveen</w:t>
      </w:r>
    </w:p>
    <w:p w:rsidR="00F57EED" w:rsidRDefault="00F57EED" w:rsidP="00BB0D7A">
      <w:pPr>
        <w:pStyle w:val="BillDots0"/>
      </w:pPr>
    </w:p>
    <w:p w:rsidR="00F57EED" w:rsidRDefault="00F57EED" w:rsidP="00BB0D7A">
      <w:pPr>
        <w:pStyle w:val="BillDots0"/>
      </w:pPr>
      <w:r>
        <w:t>S. Printed 5/15/14--H.</w:t>
      </w:r>
    </w:p>
    <w:p w:rsidR="00F57EED" w:rsidRDefault="00F57EED" w:rsidP="00BB0D7A">
      <w:pPr>
        <w:pStyle w:val="BillDots0"/>
      </w:pPr>
      <w:r>
        <w:t>Read the first time June 5, 2013.</w:t>
      </w:r>
    </w:p>
    <w:p w:rsidR="00F57EED" w:rsidRPr="00F57EED" w:rsidRDefault="00F57EED" w:rsidP="00F57EED">
      <w:pPr>
        <w:pStyle w:val="BillDots0"/>
        <w:jc w:val="center"/>
      </w:pPr>
      <w:r>
        <w:rPr>
          <w:u w:val="single"/>
        </w:rPr>
        <w:t>            </w:t>
      </w:r>
    </w:p>
    <w:p w:rsidR="00F57EED" w:rsidRDefault="00F57EED" w:rsidP="00BB0D7A">
      <w:pPr>
        <w:pStyle w:val="BillDots0"/>
      </w:pPr>
    </w:p>
    <w:p w:rsidR="00030D95" w:rsidRPr="00F57EED" w:rsidRDefault="00030D95" w:rsidP="00BB0D7A">
      <w:pPr>
        <w:pStyle w:val="BillDots0"/>
        <w:sectPr w:rsidR="00030D95" w:rsidRPr="00F57EED" w:rsidSect="00826899">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B0D7A" w:rsidRDefault="00BB0D7A" w:rsidP="00BB0D7A">
      <w:pPr>
        <w:pStyle w:val="BillDots0"/>
      </w:pPr>
    </w:p>
    <w:p w:rsidR="00BB0D7A" w:rsidRDefault="00BB0D7A" w:rsidP="00BB0D7A">
      <w:pPr>
        <w:pStyle w:val="Numbersforbill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3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13108">
        <w:rPr>
          <w:color w:val="000000" w:themeColor="text1"/>
          <w:u w:color="000000" w:themeColor="text1"/>
        </w:rPr>
        <w:t>TO AMEND THE CODE OF LAWS OF SOUTH CAROLINA, 1976, BY ADDING CHAPTER 67 TO TITLE 12 SO AS TO ENACT THE “SOUTH CAROLINA ABANDONED BUILDINGS REVITALIZATION ACT” WHICH PROVIDES THAT A TAXPAYER MAKING INVESTMENTS OF A CERTAIN SIZE IN REHABILITATING AN ABANDONED BUILDING MAY AT HIS OPTION RECEIVE SPECIFIED INCOME TAX CREDITS OR CREDITS AGAINST THE PROPERTY TAX LIABILITY.</w:t>
      </w:r>
    </w:p>
    <w:p w:rsidR="00030D95" w:rsidRDefault="00030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1.</w:t>
      </w:r>
      <w:r w:rsidRPr="00E57271">
        <w:rPr>
          <w:u w:color="000000" w:themeColor="text1"/>
        </w:rPr>
        <w:tab/>
        <w:t>Section 12</w:t>
      </w:r>
      <w:r w:rsidRPr="00E57271">
        <w:rPr>
          <w:u w:color="000000" w:themeColor="text1"/>
        </w:rPr>
        <w:noBreakHyphen/>
        <w:t>67</w:t>
      </w:r>
      <w:r w:rsidRPr="00E57271">
        <w:rPr>
          <w:u w:color="000000" w:themeColor="text1"/>
        </w:rPr>
        <w:noBreakHyphen/>
        <w:t>120 of the 1976 Code, as added by Act 57 of 2013, is amended by adding an item at the end to read:</w:t>
      </w:r>
    </w:p>
    <w:p w:rsidR="00030D95"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“(8)</w:t>
      </w:r>
      <w:r w:rsidRPr="00E57271">
        <w:rPr>
          <w:u w:color="000000" w:themeColor="text1"/>
        </w:rPr>
        <w:tab/>
        <w:t>‘State</w:t>
      </w:r>
      <w:r w:rsidRPr="00E57271">
        <w:rPr>
          <w:u w:color="000000" w:themeColor="text1"/>
        </w:rPr>
        <w:noBreakHyphen/>
        <w:t>owned abandoned building’ means an abandoned building and its ancillary service buildings, the combined square footage of which is greater than one hundred fifty thousand square feet, that has been abandoned for more than ten years, and was most recently owned by the State, or an agency, instrumentality, or political subdivision of the State.”</w:t>
      </w:r>
    </w:p>
    <w:p w:rsidR="00030D95"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2.</w:t>
      </w:r>
      <w:r w:rsidRPr="00E57271">
        <w:rPr>
          <w:u w:color="000000" w:themeColor="text1"/>
        </w:rPr>
        <w:tab/>
        <w:t>A.</w:t>
      </w:r>
      <w:r>
        <w:rPr>
          <w:u w:color="000000" w:themeColor="text1"/>
        </w:rPr>
        <w:tab/>
      </w:r>
      <w:r w:rsidRPr="00E57271">
        <w:rPr>
          <w:u w:color="000000" w:themeColor="text1"/>
        </w:rPr>
        <w:tab/>
        <w:t>Section 12</w:t>
      </w:r>
      <w:r w:rsidRPr="00E57271">
        <w:rPr>
          <w:u w:color="000000" w:themeColor="text1"/>
        </w:rPr>
        <w:noBreakHyphen/>
        <w:t>67</w:t>
      </w:r>
      <w:r w:rsidRPr="00E57271">
        <w:rPr>
          <w:u w:color="000000" w:themeColor="text1"/>
        </w:rPr>
        <w:noBreakHyphen/>
        <w:t>140(B)(3) of 1976 Code, as added by Act 57 of 2013, is amended to read:</w:t>
      </w:r>
    </w:p>
    <w:p w:rsidR="00030D95"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“(3)(a)</w:t>
      </w:r>
      <w:r w:rsidRPr="00E57271">
        <w:rPr>
          <w:u w:color="000000" w:themeColor="text1"/>
        </w:rPr>
        <w:tab/>
      </w:r>
      <w:r w:rsidRPr="00E57271">
        <w:rPr>
          <w:strike/>
          <w:u w:color="000000" w:themeColor="text1"/>
        </w:rPr>
        <w:t>The</w:t>
      </w:r>
      <w:r w:rsidRPr="00E57271">
        <w:rPr>
          <w:u w:color="000000" w:themeColor="text1"/>
        </w:rPr>
        <w:t xml:space="preserve"> </w:t>
      </w:r>
      <w:r w:rsidRPr="00E57271">
        <w:rPr>
          <w:u w:val="single" w:color="000000" w:themeColor="text1"/>
        </w:rPr>
        <w:t>Except for a credit claimed in connection with the rehabilitation of a state owned abandoned building, the</w:t>
      </w:r>
      <w:r w:rsidRPr="00E57271">
        <w:rPr>
          <w:u w:color="000000" w:themeColor="text1"/>
        </w:rPr>
        <w:t xml:space="preserve"> entire credit is earned in the taxable year in which the applicable phase or portion of the building site is placed in service but must be taken in equal installments over a five</w:t>
      </w:r>
      <w:r w:rsidRPr="00E57271">
        <w:rPr>
          <w:u w:color="000000" w:themeColor="text1"/>
        </w:rPr>
        <w:noBreakHyphen/>
        <w:t xml:space="preserve">year period beginning with the tax </w:t>
      </w:r>
      <w:r w:rsidRPr="00E57271">
        <w:rPr>
          <w:u w:color="000000" w:themeColor="text1"/>
        </w:rPr>
        <w:lastRenderedPageBreak/>
        <w:t xml:space="preserve">year in which the applicable phase or portion of the building site is placed in service. </w:t>
      </w:r>
      <w:r w:rsidRPr="00E57271">
        <w:rPr>
          <w:u w:val="single" w:color="000000" w:themeColor="text1"/>
        </w:rPr>
        <w:t>If the credit is earned in connection with the rehabilitation of a state owned abandoned building, the entire credit is earned in the taxable year in which the applicable phase or portion of the building site is placed in service but must be claimed in equal installments over a two</w:t>
      </w:r>
      <w:r w:rsidRPr="00E57271">
        <w:rPr>
          <w:u w:val="single" w:color="000000" w:themeColor="text1"/>
        </w:rPr>
        <w:noBreakHyphen/>
        <w:t>year period beginning with the tax year in which the applicable phase or portion of the building site is placed in service.</w:t>
      </w:r>
      <w:r w:rsidRPr="00E57271">
        <w:rPr>
          <w:u w:color="000000" w:themeColor="text1"/>
        </w:rPr>
        <w:t xml:space="preserve"> Unused credit may be carried forward for the succeeding five years.</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r>
      <w:r w:rsidRPr="00E57271">
        <w:rPr>
          <w:u w:color="000000" w:themeColor="text1"/>
        </w:rPr>
        <w:tab/>
        <w:t>(b)</w:t>
      </w:r>
      <w:r w:rsidRPr="00E57271">
        <w:rPr>
          <w:u w:color="000000" w:themeColor="text1"/>
        </w:rPr>
        <w:tab/>
        <w:t xml:space="preserve">The entire credit earned pursuant to this subsection may not exceed five hundred thousand dollars for any taxpayer in a tax year for each abandoned building site. The limitation provided in this subitem applies to each unit or parcel deemed to be an abandoned building site. </w:t>
      </w:r>
      <w:r w:rsidRPr="00E57271">
        <w:rPr>
          <w:u w:val="single" w:color="000000" w:themeColor="text1"/>
        </w:rPr>
        <w:t>The limitation provided for in this subitem does not apply to any state owned abandoned building.</w:t>
      </w:r>
      <w:r w:rsidRPr="00E57271">
        <w:rPr>
          <w:u w:color="000000" w:themeColor="text1"/>
        </w:rPr>
        <w:t>”</w:t>
      </w:r>
    </w:p>
    <w:p w:rsidR="00030D95"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B.</w:t>
      </w:r>
      <w:r>
        <w:rPr>
          <w:u w:color="000000" w:themeColor="text1"/>
        </w:rPr>
        <w:tab/>
      </w:r>
      <w:r w:rsidRPr="00E57271">
        <w:rPr>
          <w:u w:color="000000" w:themeColor="text1"/>
        </w:rPr>
        <w:tab/>
        <w:t>Section 12-67-140(C) of the 1976 Code, as added by Act 57 of 2013, is amended by adding an item at the</w:t>
      </w:r>
      <w:bookmarkStart w:id="4" w:name="temp"/>
      <w:bookmarkEnd w:id="4"/>
      <w:r w:rsidRPr="00E57271">
        <w:rPr>
          <w:u w:color="000000" w:themeColor="text1"/>
        </w:rPr>
        <w:t xml:space="preserve"> end to read:</w:t>
      </w:r>
    </w:p>
    <w:p w:rsidR="00030D95"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“(6)</w:t>
      </w:r>
      <w:r w:rsidRPr="00E57271">
        <w:rPr>
          <w:u w:color="000000" w:themeColor="text1"/>
        </w:rPr>
        <w:tab/>
        <w:t>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To the extent that the taxpayer transfers the credit, the taxpayer shall notify the county auditor of the transfer in the manner the department prescribes.”</w:t>
      </w:r>
    </w:p>
    <w:p w:rsidR="00030D95"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3.</w:t>
      </w:r>
      <w:r w:rsidRPr="00E57271">
        <w:rPr>
          <w:u w:color="000000" w:themeColor="text1"/>
        </w:rPr>
        <w:tab/>
        <w:t>Section 12</w:t>
      </w:r>
      <w:r w:rsidRPr="00E57271">
        <w:rPr>
          <w:u w:color="000000" w:themeColor="text1"/>
        </w:rPr>
        <w:noBreakHyphen/>
        <w:t>6</w:t>
      </w:r>
      <w:r w:rsidRPr="00E57271">
        <w:rPr>
          <w:u w:color="000000" w:themeColor="text1"/>
        </w:rPr>
        <w:noBreakHyphen/>
        <w:t>3535(A) and (C)(1) of the 1976 Code is amended to read:</w:t>
      </w:r>
    </w:p>
    <w:p w:rsidR="00030D95"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“(A)</w:t>
      </w:r>
      <w:r w:rsidRPr="00E57271">
        <w:rPr>
          <w:u w:color="000000" w:themeColor="text1"/>
        </w:rPr>
        <w:tab/>
        <w:t xml:space="preserve">A taxpayer who is allowed a federal income tax credit pursuant to Section 47 of the Internal Revenue Code for making qualified rehabilitation expenditures for a certified historic structure located in this State is allowed to claim a credit against income taxes and license fees imposed by this title. For the purposes of this section, ‘qualified rehabilitation expenditures’ and ‘certified historic structure are defined as provided in the Internal Revenue Code Section 47 and the applicable treasury regulations. </w:t>
      </w:r>
      <w:r w:rsidRPr="00E57271">
        <w:rPr>
          <w:u w:val="single"/>
        </w:rPr>
        <w:t>Except as provided in subsection (A)(1),</w:t>
      </w:r>
      <w:r w:rsidRPr="00E57271">
        <w:t xml:space="preserve"> t</w:t>
      </w:r>
      <w:r w:rsidRPr="00E57271">
        <w:rPr>
          <w:u w:color="000000" w:themeColor="text1"/>
        </w:rPr>
        <w:t xml:space="preserve">he amount of the credit is ten percent of the expenditures that qualify for the federal credit. To claim the credit allowed by this subsection, a taxpayer filing a paper return must attach a copy of the section of the federal </w:t>
      </w:r>
      <w:r w:rsidRPr="00E57271">
        <w:rPr>
          <w:u w:color="000000" w:themeColor="text1"/>
        </w:rPr>
        <w:lastRenderedPageBreak/>
        <w:t>income tax return showing the credit claimed, along with other information that the Department of Revenue determines is necessary for the calculation of the credit provided by this subsection.</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57271">
        <w:rPr>
          <w:u w:color="000000" w:themeColor="text1"/>
        </w:rPr>
        <w:tab/>
      </w:r>
      <w:r w:rsidRPr="00E57271">
        <w:rPr>
          <w:u w:color="000000" w:themeColor="text1"/>
        </w:rPr>
        <w:tab/>
      </w:r>
      <w:r w:rsidRPr="00E57271">
        <w:rPr>
          <w:u w:val="single" w:color="000000" w:themeColor="text1"/>
        </w:rPr>
        <w:t>(1)</w:t>
      </w:r>
      <w:r w:rsidRPr="00E57271">
        <w:rPr>
          <w:u w:color="000000" w:themeColor="text1"/>
        </w:rPr>
        <w:tab/>
      </w:r>
      <w:r w:rsidRPr="00E57271">
        <w:rPr>
          <w:u w:val="single" w:color="000000" w:themeColor="text1"/>
        </w:rPr>
        <w:t>A taxpayer may elect a twenty</w:t>
      </w:r>
      <w:r w:rsidRPr="00E57271">
        <w:rPr>
          <w:u w:val="single" w:color="000000" w:themeColor="text1"/>
        </w:rPr>
        <w:noBreakHyphen/>
        <w:t>five percent tax credit in lieu of the ten percent tax credit.</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r>
      <w:r w:rsidRPr="00E57271">
        <w:rPr>
          <w:u w:val="single" w:color="000000" w:themeColor="text1"/>
        </w:rPr>
        <w:t>(2)</w:t>
      </w:r>
      <w:r w:rsidRPr="00E57271">
        <w:rPr>
          <w:u w:color="000000" w:themeColor="text1"/>
        </w:rPr>
        <w:tab/>
      </w:r>
      <w:r w:rsidRPr="00E57271">
        <w:rPr>
          <w:u w:val="single" w:color="000000" w:themeColor="text1"/>
        </w:rPr>
        <w:t>A taxpayer electing a twenty</w:t>
      </w:r>
      <w:r w:rsidRPr="00E57271">
        <w:rPr>
          <w:u w:val="single" w:color="000000" w:themeColor="text1"/>
        </w:rPr>
        <w:noBreakHyphen/>
        <w:t>five percent tax credit may not claim a credit that exceeds five hundred thousand dollars for each certified historic structure. The limitation provided for in this item shall not apply to credits claimed for qualified rehabilitation expenditures related to any state owned abandoned building.</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7271">
        <w:tab/>
        <w:t>(C)(1)</w:t>
      </w:r>
      <w:r w:rsidRPr="00E57271">
        <w:tab/>
      </w:r>
      <w:r w:rsidRPr="00E57271">
        <w:rPr>
          <w:u w:val="single"/>
        </w:rPr>
        <w:t>Except for a credit claimed in connection with the rehabilitation of a state owned abandoned building,</w:t>
      </w:r>
      <w:r w:rsidRPr="00E57271">
        <w:t xml:space="preserve"> the entire credit may not be taken for the taxable year in which the property is placed in service but must be taken in equal installments over a five</w:t>
      </w:r>
      <w:r w:rsidRPr="00E57271">
        <w:noBreakHyphen/>
        <w:t xml:space="preserve">year period beginning with the year in which the property is placed in service.  </w:t>
      </w:r>
      <w:r w:rsidRPr="00E57271">
        <w:rPr>
          <w:u w:val="single"/>
        </w:rPr>
        <w:t>If the credit is claimed in connection with the rehabilitation of a state owned abandoned building, the entire credit may not be taken for the taxable year in which the property is placed in service, but, rather must be taken in equal installments over a two-year period beginning with the year in which the property is placed in service.  For purposes of this section, ‘state owned abandoned building’ has the same meaning as provided in section 12-67-120.</w:t>
      </w:r>
      <w:r w:rsidRPr="00E57271">
        <w:t xml:space="preserve">  ‘Placed in service’ means the rehabilitation is completed and allows for the intended use. Any unused portion of any credit installment may be carried forward for the succeeding five years.”</w:t>
      </w:r>
    </w:p>
    <w:p w:rsidR="00030D95"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4.</w:t>
      </w:r>
      <w:r w:rsidRPr="00E57271">
        <w:rPr>
          <w:u w:color="000000" w:themeColor="text1"/>
        </w:rPr>
        <w:tab/>
        <w:t>A.</w:t>
      </w:r>
      <w:r>
        <w:rPr>
          <w:u w:color="000000" w:themeColor="text1"/>
        </w:rPr>
        <w:tab/>
      </w:r>
      <w:r w:rsidRPr="00E57271">
        <w:rPr>
          <w:u w:color="000000" w:themeColor="text1"/>
        </w:rPr>
        <w:tab/>
        <w:t>Article 25, Chapter 6, Title 12 of the 1976 Code is amended by adding:</w:t>
      </w:r>
    </w:p>
    <w:p w:rsidR="00030D95"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“Section 12</w:t>
      </w:r>
      <w:r w:rsidRPr="00E57271">
        <w:rPr>
          <w:u w:color="000000" w:themeColor="text1"/>
        </w:rPr>
        <w:noBreakHyphen/>
        <w:t>6</w:t>
      </w:r>
      <w:r w:rsidRPr="00E57271">
        <w:rPr>
          <w:u w:color="000000" w:themeColor="text1"/>
        </w:rPr>
        <w:noBreakHyphen/>
        <w:t>3586.</w:t>
      </w:r>
      <w:r w:rsidRPr="00E57271">
        <w:rPr>
          <w:u w:color="000000" w:themeColor="text1"/>
        </w:rPr>
        <w:tab/>
        <w:t>(A)</w:t>
      </w:r>
      <w:r w:rsidRPr="00E57271">
        <w:rPr>
          <w:u w:color="000000" w:themeColor="text1"/>
        </w:rPr>
        <w:tab/>
        <w:t>As used in this section:</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(1)</w:t>
      </w:r>
      <w:r w:rsidRPr="00E57271">
        <w:rPr>
          <w:u w:color="000000" w:themeColor="text1"/>
        </w:rPr>
        <w:tab/>
        <w:t>‘Solar energy system’ is a nonresidential system that, as determined by the State Energy Office, uses solar radiation as a substitute for traditional energy for water heating, active space heating and cooling, passive heating, daylighting, generating electricity not greater than one megawatt alternating current, distillation, desalination, detoxification, or the production of industrial or commercial process heat.  The term also includes related devices necessary for collecting, storing, exchanging, conditioning, or converting solar energy to other useful forms of energy.</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lastRenderedPageBreak/>
        <w:tab/>
      </w:r>
      <w:r w:rsidRPr="00E57271">
        <w:rPr>
          <w:u w:color="000000" w:themeColor="text1"/>
        </w:rPr>
        <w:tab/>
        <w:t>(2)</w:t>
      </w:r>
      <w:r w:rsidRPr="00E57271">
        <w:rPr>
          <w:u w:color="000000" w:themeColor="text1"/>
        </w:rPr>
        <w:tab/>
        <w:t>‘Tax liability’ includes income taxes imposed pursuant to this chapter, license taxes imposed pursuant to Chapter 20 of this title, bank and building and loan taxes imposed pursuant to Chapters 11 and 13 of this title, and premium taxes imposed pursuant to Title 38.</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t>‘Department’ means the South Carolina Department of Revenue.</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(B)(1)</w:t>
      </w:r>
      <w:r w:rsidRPr="00E57271">
        <w:rPr>
          <w:u w:color="000000" w:themeColor="text1"/>
        </w:rPr>
        <w:tab/>
        <w:t>For tax years beginning after 2013 and before 2017, if a taxpayer that has constructed, purchased, or leased a nonresidential solar energy system, the taxpayer, subject to the limitations set forth in subsection (E), is allowed a credit against his tax liability equal to twenty</w:t>
      </w:r>
      <w:r w:rsidRPr="00E57271">
        <w:rPr>
          <w:u w:color="000000" w:themeColor="text1"/>
        </w:rPr>
        <w:noBreakHyphen/>
        <w:t>five percent of the cost of the system in the taxable year in which the system is placed in service.</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 entire credit may not be taken for the taxable year in which the system is placed in service but must be taken in three equal annual installments beginning with the taxable year in which the system is placed in service, and subject to this annual limit, unused credit may be carried forward for taxable years four through ten succeeding the year the system was placed in service.</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t>If a taxpayer is not allowed all or part of the credit, the taxpayer would be authorized to receive, because of the limitations set forth in subsection (E), the carry forward years provided in item (1) beginning in the year in which all or part of the credit is first allowed.  However, if the credit is not allowed before tax year 2017, the taxpayer is not eligible to claim the credit.</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(C)</w:t>
      </w:r>
      <w:r w:rsidRPr="00E57271">
        <w:rPr>
          <w:u w:color="000000" w:themeColor="text1"/>
        </w:rPr>
        <w:tab/>
        <w:t>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  A disposition does not include the sale or assignment of the partnership interests or limited liability company interests of a partnership or limited liability company that owns or leases a solar energy system.  The taxpayer, however, may take the portion of an installment that accrued in a previous year and was carried forward to the extent permitted pursuant to subsection (B) of this section.  For purposes of calculating the credit, if the solar energy system was provided, in whole or in part, by public funds, the amount of public funds expended on the solar energy system shall not be considered a cost of the system.  The amount of any credit allowed pursuant to this section must be reduced by any credit claimed pursuant to Section 12</w:t>
      </w:r>
      <w:r w:rsidRPr="00E57271">
        <w:rPr>
          <w:u w:color="000000" w:themeColor="text1"/>
        </w:rPr>
        <w:noBreakHyphen/>
        <w:t>6</w:t>
      </w:r>
      <w:r w:rsidRPr="00E57271">
        <w:rPr>
          <w:u w:color="000000" w:themeColor="text1"/>
        </w:rPr>
        <w:noBreakHyphen/>
        <w:t xml:space="preserve">3587 or any other credit allowed pursuant to this title for the solar energy system.  Public funds does not include proceeds of the </w:t>
      </w:r>
      <w:r w:rsidRPr="00E57271">
        <w:rPr>
          <w:u w:color="000000" w:themeColor="text1"/>
        </w:rPr>
        <w:lastRenderedPageBreak/>
        <w:t>investment credit pursuant to Section 48 of the Internal Revenue Code, or the grant in lieu thereof under Section 1603 program administered by the United States Department of Treasury.  In no case may a credit allowed pursuant to this section exceed one</w:t>
      </w:r>
      <w:r w:rsidRPr="00E57271">
        <w:rPr>
          <w:u w:color="000000" w:themeColor="text1"/>
        </w:rPr>
        <w:noBreakHyphen/>
        <w:t>half of the taxpayer’s tax liability for a taxable year.</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(D)</w:t>
      </w:r>
      <w:r w:rsidRPr="00E57271">
        <w:rPr>
          <w:u w:color="000000" w:themeColor="text1"/>
        </w:rPr>
        <w:tab/>
        <w:t>The credit allowed by this section may not exceed three hundred thirty</w:t>
      </w:r>
      <w:r w:rsidRPr="00E57271">
        <w:rPr>
          <w:u w:color="000000" w:themeColor="text1"/>
        </w:rPr>
        <w:noBreakHyphen/>
        <w:t>three thousand dollars for each solar energy system installation and the credit may not exceed one million dollars for any taxpayer.</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(E)(1)</w:t>
      </w:r>
      <w:r w:rsidRPr="00E57271">
        <w:rPr>
          <w:u w:color="000000" w:themeColor="text1"/>
        </w:rPr>
        <w:tab/>
        <w:t>The total amount of credits allocated for all taxpayers in a taxable year may not exceed five million dollars in the aggregate.  For purposes of this subsection, notwithstanding subsection (B), the entire credit is considered taken in the tax year in which the system is placed in service.</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If an allocation set forth in this item is not completely exhausted, the remaining amount may be carried forward by the department to the next year and used for the same purpose, and is in addition to the aggregate amount set forth in item (1).  No amount may be carried forward by the department beyond tax year 2016.</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(F)</w:t>
      </w:r>
      <w:r w:rsidRPr="00E57271">
        <w:rPr>
          <w:u w:color="000000" w:themeColor="text1"/>
        </w:rPr>
        <w:tab/>
        <w:t>If the taxpayer leases the solar energy system, or part of the solar energy system, the taxpayer may transfer any applicable remaining credit associated with the solar energy system expenses incurred with respect to that part of the solar energy system to the lessee of the solar energy system. The provisions of this subsection apply to a lessee that is an entity taxed as a partnership.</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(G)</w:t>
      </w:r>
      <w:r w:rsidRPr="00E57271">
        <w:rPr>
          <w:u w:color="000000" w:themeColor="text1"/>
        </w:rPr>
        <w:tab/>
        <w:t xml:space="preserve">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 </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(H)</w:t>
      </w:r>
      <w:r w:rsidRPr="00E57271">
        <w:rPr>
          <w:u w:color="000000" w:themeColor="text1"/>
        </w:rPr>
        <w:tab/>
        <w:t xml:space="preserve">This credit is in no way to imply or allow the third party sale of electricity between parties nor does this section modify the provisions of Title 58 in any way and lessee simply refers to the financial structuring of the payment for the ‘solar energy system’. </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(I)(1)</w:t>
      </w:r>
      <w:r w:rsidRPr="00E57271">
        <w:rPr>
          <w:u w:color="000000" w:themeColor="text1"/>
        </w:rPr>
        <w:tab/>
        <w:t>After the system is placed in service, a taxpayer seeking to claim the credit provided in this section must submit an application to the State Energy Office for tentative approval of the credit.  Within forty</w:t>
      </w:r>
      <w:r w:rsidRPr="00E57271">
        <w:rPr>
          <w:u w:color="000000" w:themeColor="text1"/>
        </w:rPr>
        <w:noBreakHyphen/>
        <w:t xml:space="preserve">five days of receipt of the application, the State Energy Office must review the application and tentatively shall approve the application upon determining that the taxpayer </w:t>
      </w:r>
      <w:r w:rsidRPr="00E57271">
        <w:rPr>
          <w:u w:color="000000" w:themeColor="text1"/>
        </w:rPr>
        <w:lastRenderedPageBreak/>
        <w:t>qualifies for the credit, and only if the aggregate credit, pursuant to subsection (E), has not yet been reached for the taxable year.  The State Energy Office shall notify the applicant whether all or part of the credit may be claimed and the amount that may be claimed in the current year.  Also, the State Energy Office shall forward the notice to the department.</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 credit is allowed on a first</w:t>
      </w:r>
      <w:r w:rsidRPr="00E57271">
        <w:rPr>
          <w:u w:color="000000" w:themeColor="text1"/>
        </w:rPr>
        <w:noBreakHyphen/>
        <w:t>come, first</w:t>
      </w:r>
      <w:r w:rsidRPr="00E57271">
        <w:rPr>
          <w:u w:color="000000" w:themeColor="text1"/>
        </w:rPr>
        <w:noBreakHyphen/>
        <w:t>serve basis. In no event shall the aggregate amount of tax credits approved by the State Energy Office for all taxpayers in a taxable year exceed the limitations specified in subsection (E). For tax years 2014 and 2015, in the event the taxpayer timely files an application for the credit but is not allowed all or part of the credit the taxpayer would be authorized to receive because of the limitations set forth in subsection (E), the taxpayer must be added to a priority waiting list of applications, prioritized by the date of the taxpayer’s first filed application.  With respect to the credit allocation in subsequent years, a taxpayer on the priority waiting list shall have priority over other taxpayers who apply for the credit for an installation in the subsequent year.  For purposes of subsection (E), if a taxpayer on the priority waiting list is allowed the credit in a taxable year after the system is placed in service, then the entire credit is considered taken in the year in which the credit is first allowed.</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(J)(1)</w:t>
      </w:r>
      <w:r w:rsidRPr="00E57271">
        <w:rPr>
          <w:u w:color="000000" w:themeColor="text1"/>
        </w:rPr>
        <w:tab/>
        <w:t>The department, in consultation with the State Energy Office, shall develop an application form.  Also, the department and the State Energy Office shall adopt rules to provide for the administration of this credit.  The State Energy Office, with assistance from the department, shall create a mechanism to track and report the status and availability of credits for the public to review on a regular basis, as determined by the State Energy Office.</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There is a nonrefundable application fee equal to one percent of the credit applied for, but no more than two thousand five hundred dollars.  The fee must accompany the application.  The fee shall be credited to the State Energy Office and shall be used to meet the requirements of this section.</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(K)</w:t>
      </w:r>
      <w:r w:rsidRPr="00E57271">
        <w:rPr>
          <w:u w:color="000000" w:themeColor="text1"/>
        </w:rPr>
        <w:tab/>
      </w:r>
      <w:r w:rsidRPr="00E57271">
        <w:t xml:space="preserve">In addition to the carry forward of unused credit allowed pursuant to this section, unused credit may be transferred, devised, or distributed, with or without consideration, by an individual, partnership, limited liability company, corporation, trust, or estate.  To be effective, such a transfer, devise, or distribution requires written notification to and approval by the department with the unused credit maintaining all its original attributes in the hands of the original recipient including, but not limited to, the limit on the </w:t>
      </w:r>
      <w:r w:rsidRPr="00E57271">
        <w:lastRenderedPageBreak/>
        <w:t>amount by which the taxpayer’s tax liability may be reduced.  With regard to the sale or exchange of a credit allowed pursuant to this section, general income tax principles apply for purposes of the state income tax.</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(L)</w:t>
      </w:r>
      <w:r w:rsidRPr="00E57271">
        <w:rPr>
          <w:u w:color="000000" w:themeColor="text1"/>
        </w:rPr>
        <w:tab/>
        <w:t>Not later than June 1, 2015, and by June first each year thereafter, the State Energy Office shall prepare a report detailing:</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(1)</w:t>
      </w:r>
      <w:r w:rsidRPr="00E57271">
        <w:rPr>
          <w:u w:color="000000" w:themeColor="text1"/>
        </w:rPr>
        <w:tab/>
        <w:t>the number of taxpayers applying for the credit, the amount applied for, and the system sizes, including the total cost of the system installed against which the credit is being claimed, and the county in which the system was installed;</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 number of taxpayers allocated the credit, the amount allocated, and the system sizes, including the total cost of the system installed against which the credit is being claimed, and the county in which the system was installed;</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t>the number of taxpayers denied the credit based on an ineligibility determination by the department; and</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(4)</w:t>
      </w:r>
      <w:r w:rsidRPr="00E57271">
        <w:rPr>
          <w:u w:color="000000" w:themeColor="text1"/>
        </w:rPr>
        <w:tab/>
        <w:t>the number of taxpayers eligible for the credit, but placed on the waiting list due to the limitations set forth in subsection (E).</w:t>
      </w: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The report shall be delivered to the Governor, the Chairman of the Senate Finance Committee, the Chairman of the House Ways and Means Committee, the Public Utilities Review Committee, the Public Service Commission, and the Office of Regulatory Staff.  The report also must be made available in a conspicuous place on the website maintained by the State Energy Office.”</w:t>
      </w:r>
    </w:p>
    <w:p w:rsidR="00030D95"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B.</w:t>
      </w:r>
      <w:r w:rsidRPr="00E57271">
        <w:rPr>
          <w:u w:color="000000" w:themeColor="text1"/>
        </w:rPr>
        <w:tab/>
      </w:r>
      <w:r w:rsidRPr="00E57271">
        <w:rPr>
          <w:u w:color="000000" w:themeColor="text1"/>
        </w:rPr>
        <w:tab/>
        <w:t>This SECTION applies to solar energy systems placed in service in taxable years beginning after 2013 and before 2017.</w:t>
      </w:r>
    </w:p>
    <w:p w:rsidR="00030D95"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5.</w:t>
      </w:r>
      <w:r w:rsidRPr="00E57271">
        <w:rPr>
          <w:u w:color="000000" w:themeColor="text1"/>
        </w:rPr>
        <w:tab/>
        <w:t>A.</w:t>
      </w:r>
      <w:r w:rsidRPr="00E57271">
        <w:rPr>
          <w:u w:color="000000" w:themeColor="text1"/>
        </w:rPr>
        <w:tab/>
      </w:r>
      <w:r w:rsidRPr="00E57271">
        <w:rPr>
          <w:u w:color="000000" w:themeColor="text1"/>
        </w:rPr>
        <w:tab/>
        <w:t>Section 12</w:t>
      </w:r>
      <w:r w:rsidRPr="00E57271">
        <w:rPr>
          <w:u w:color="000000" w:themeColor="text1"/>
        </w:rPr>
        <w:noBreakHyphen/>
        <w:t>6</w:t>
      </w:r>
      <w:r w:rsidRPr="00E57271">
        <w:rPr>
          <w:u w:color="000000" w:themeColor="text1"/>
        </w:rPr>
        <w:noBreakHyphen/>
        <w:t>3587(A) of the 1976 Code is amended to read:</w:t>
      </w:r>
    </w:p>
    <w:p w:rsidR="00030D95"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“(A)</w:t>
      </w:r>
      <w:r w:rsidRPr="00E57271">
        <w:rPr>
          <w:u w:color="000000" w:themeColor="text1"/>
        </w:rPr>
        <w:tab/>
      </w:r>
      <w:r w:rsidRPr="00E57271">
        <w:t>There is allowed as a tax credit against the income tax liability of a taxpayer imposed by this chapter an amount equal to twenty</w:t>
      </w:r>
      <w:r w:rsidRPr="00E57271">
        <w:noBreakHyphen/>
        <w:t>five percent of the costs incurred by the taxpayer in the purchase and installation of a solar energy system or small hydropower system for heating water, space heating, air cooling, energy</w:t>
      </w:r>
      <w:r w:rsidRPr="00E57271">
        <w:noBreakHyphen/>
        <w:t>efficient daylighting, heat reclamation, energy</w:t>
      </w:r>
      <w:r w:rsidRPr="00E57271">
        <w:noBreakHyphen/>
        <w:t xml:space="preserve">efficient demand response, or the generation of electricity in or on a facility in South Carolina and owned by the taxpayer. The tax credit allowed by this section must not be claimed before the completion of the installation.  </w:t>
      </w:r>
      <w:r w:rsidRPr="00E57271">
        <w:rPr>
          <w:u w:val="single"/>
        </w:rPr>
        <w:t>The credit is allowed without regard to whether or not the owner</w:t>
      </w:r>
      <w:r w:rsidRPr="00E57271">
        <w:rPr>
          <w:u w:val="single"/>
        </w:rPr>
        <w:noBreakHyphen/>
        <w:t>taxpayer occupies the installation site.</w:t>
      </w:r>
      <w:r w:rsidRPr="00E57271">
        <w:t xml:space="preserve">  The amount of the credit in any year may not exceed three thousand </w:t>
      </w:r>
      <w:r w:rsidRPr="00E57271">
        <w:lastRenderedPageBreak/>
        <w:t>five hundred dollars for each facility or fifty percent of the taxpayer’s tax liability for that taxable year, whichever is less. If the amount of the credit exceeds three thousand five hundred dollars for each facility, the taxpayer may carry forward the excess for up to ten years.</w:t>
      </w:r>
      <w:r w:rsidRPr="00E57271">
        <w:rPr>
          <w:u w:color="000000" w:themeColor="text1"/>
        </w:rPr>
        <w:t>”</w:t>
      </w:r>
    </w:p>
    <w:p w:rsidR="00030D95"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B.</w:t>
      </w:r>
      <w:r w:rsidRPr="00E57271">
        <w:rPr>
          <w:u w:color="000000" w:themeColor="text1"/>
        </w:rPr>
        <w:tab/>
      </w:r>
      <w:r w:rsidRPr="00E57271">
        <w:rPr>
          <w:u w:color="000000" w:themeColor="text1"/>
        </w:rPr>
        <w:tab/>
        <w:t>Section 12</w:t>
      </w:r>
      <w:r w:rsidRPr="00E57271">
        <w:rPr>
          <w:u w:color="000000" w:themeColor="text1"/>
        </w:rPr>
        <w:noBreakHyphen/>
        <w:t>6</w:t>
      </w:r>
      <w:r w:rsidRPr="00E57271">
        <w:rPr>
          <w:u w:color="000000" w:themeColor="text1"/>
        </w:rPr>
        <w:noBreakHyphen/>
        <w:t>3587 of the 1976 Code is amended by adding a subsection at the end to read:</w:t>
      </w:r>
    </w:p>
    <w:p w:rsidR="00030D95"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0D95" w:rsidRPr="00E57271"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“(D)</w:t>
      </w:r>
      <w:r w:rsidRPr="00E57271">
        <w:rPr>
          <w:u w:color="000000" w:themeColor="text1"/>
        </w:rPr>
        <w:tab/>
        <w:t>With respect to solar energy systems, this section only applies to a system placed in service after tax year 2005 and before tax year 2017.”</w:t>
      </w:r>
    </w:p>
    <w:p w:rsidR="00030D95"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7B63" w:rsidRPr="00613108" w:rsidRDefault="00030D95" w:rsidP="0003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7271">
        <w:rPr>
          <w:u w:color="000000" w:themeColor="text1"/>
        </w:rPr>
        <w:t>SECTION</w:t>
      </w:r>
      <w:r w:rsidRPr="00E57271">
        <w:rPr>
          <w:u w:color="000000" w:themeColor="text1"/>
        </w:rPr>
        <w:tab/>
        <w:t>6.</w:t>
      </w:r>
      <w:r w:rsidRPr="00E57271">
        <w:rPr>
          <w:u w:color="000000" w:themeColor="text1"/>
        </w:rPr>
        <w:tab/>
        <w:t>Unless specified otherwise, this act takes effect upon approval by the Governor and applies for tax years beginning after 2013.  The provisions of Section 1B of Act 57 of 2013 apply to the provisions of Sections 12</w:t>
      </w:r>
      <w:r w:rsidRPr="00E57271">
        <w:rPr>
          <w:u w:color="000000" w:themeColor="text1"/>
        </w:rPr>
        <w:noBreakHyphen/>
        <w:t>67</w:t>
      </w:r>
      <w:r w:rsidRPr="00E57271">
        <w:rPr>
          <w:u w:color="000000" w:themeColor="text1"/>
        </w:rPr>
        <w:noBreakHyphen/>
        <w:t>120 and 12</w:t>
      </w:r>
      <w:r w:rsidRPr="00E57271">
        <w:rPr>
          <w:u w:color="000000" w:themeColor="text1"/>
        </w:rPr>
        <w:noBreakHyphen/>
        <w:t>67</w:t>
      </w:r>
      <w:r w:rsidRPr="00E57271">
        <w:rPr>
          <w:u w:color="000000" w:themeColor="text1"/>
        </w:rPr>
        <w:noBreakHyphen/>
        <w:t>140 of the 1976 Code as amended by this act.</w:t>
      </w:r>
    </w:p>
    <w:p w:rsidR="0029283D" w:rsidRDefault="00AC7B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83D" w:rsidRDefault="0029283D" w:rsidP="00F53F35">
      <w:pPr>
        <w:suppressAutoHyphens/>
      </w:pPr>
    </w:p>
    <w:sectPr w:rsidR="0029283D" w:rsidSect="0082689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EED" w:rsidRDefault="00F57EED" w:rsidP="009F0C77">
      <w:r>
        <w:separator/>
      </w:r>
    </w:p>
  </w:endnote>
  <w:endnote w:type="continuationSeparator" w:id="0">
    <w:p w:rsidR="00F57EED" w:rsidRDefault="00F57EED" w:rsidP="009F0C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A9404708-12C7-4858-9A6B-563CD9A7AE42}"/>
  </w:font>
  <w:font w:name="Times New Roman">
    <w:panose1 w:val="02020603050405020304"/>
    <w:charset w:val="00"/>
    <w:family w:val="roman"/>
    <w:pitch w:val="variable"/>
    <w:sig w:usb0="20002A87" w:usb1="80000000" w:usb2="00000008" w:usb3="00000000" w:csb0="000001FF" w:csb1="00000000"/>
    <w:embedRegular r:id="rId2" w:fontKey="{FAA9FD26-A6C0-4F0A-9655-78C72D077137}"/>
    <w:embedBold r:id="rId3" w:fontKey="{6C6FA0E7-59D6-4E33-8CEE-76CBB4452A1E}"/>
  </w:font>
  <w:font w:name="Courier New">
    <w:panose1 w:val="02070309020205020404"/>
    <w:charset w:val="00"/>
    <w:family w:val="modern"/>
    <w:pitch w:val="fixed"/>
    <w:sig w:usb0="20002A87" w:usb1="80000000" w:usb2="00000008" w:usb3="00000000" w:csb0="000001FF" w:csb1="00000000"/>
    <w:embedRegular r:id="rId4" w:fontKey="{D7C48FBC-9F46-4756-BA2A-D061AF21ED94}"/>
  </w:font>
  <w:font w:name="Wingdings">
    <w:panose1 w:val="05000000000000000000"/>
    <w:charset w:val="02"/>
    <w:family w:val="auto"/>
    <w:pitch w:val="variable"/>
    <w:sig w:usb0="00000000" w:usb1="10000000" w:usb2="00000000" w:usb3="00000000" w:csb0="80000000" w:csb1="00000000"/>
    <w:embedRegular r:id="rId5" w:fontKey="{26C50768-4639-4160-946B-32CA20167BBE}"/>
  </w:font>
  <w:font w:name="Calibri">
    <w:panose1 w:val="020F0502020204030204"/>
    <w:charset w:val="00"/>
    <w:family w:val="swiss"/>
    <w:pitch w:val="variable"/>
    <w:sig w:usb0="E10002FF" w:usb1="4000ACFF" w:usb2="00000009" w:usb3="00000000" w:csb0="0000019F" w:csb1="00000000"/>
    <w:embedRegular r:id="rId6" w:fontKey="{23BA5A8A-80FA-497B-973A-4FB6A5F2175A}"/>
  </w:font>
  <w:font w:name="Arial">
    <w:panose1 w:val="020B0604020202020204"/>
    <w:charset w:val="00"/>
    <w:family w:val="swiss"/>
    <w:pitch w:val="variable"/>
    <w:sig w:usb0="20002A87" w:usb1="80000000" w:usb2="00000008" w:usb3="00000000" w:csb0="000001FF" w:csb1="00000000"/>
    <w:embedRegular r:id="rId7" w:fontKey="{33028C70-0E09-4CB0-BC9F-54291E1D3EC4}"/>
    <w:embedBold r:id="rId8" w:fontKey="{C4F030E6-6F99-4232-A39C-1BDD93ED7257}"/>
  </w:font>
  <w:font w:name="Cambria">
    <w:panose1 w:val="02040503050406030204"/>
    <w:charset w:val="00"/>
    <w:family w:val="roman"/>
    <w:pitch w:val="variable"/>
    <w:sig w:usb0="E00002FF" w:usb1="400004FF" w:usb2="00000000" w:usb3="00000000" w:csb0="0000019F" w:csb1="00000000"/>
    <w:embedRegular r:id="rId9" w:fontKey="{B1BB9293-07B6-4B66-9961-DF6D7C7EBF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EED" w:rsidRPr="0029283D" w:rsidRDefault="00F57EED" w:rsidP="0029283D">
    <w:pPr>
      <w:pStyle w:val="Footer"/>
      <w:tabs>
        <w:tab w:val="clear" w:pos="4680"/>
        <w:tab w:val="clear" w:pos="9360"/>
        <w:tab w:val="center" w:pos="2995"/>
      </w:tabs>
      <w:spacing w:before="120"/>
    </w:pPr>
    <w:r>
      <w:t>[234-</w:t>
    </w:r>
    <w:fldSimple w:instr=" PAGE  \* MERGEFORMAT ">
      <w:r w:rsidR="00F53F3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EED" w:rsidRPr="0029283D" w:rsidRDefault="00F57EED" w:rsidP="0029283D">
    <w:pPr>
      <w:pStyle w:val="Footer"/>
      <w:tabs>
        <w:tab w:val="clear" w:pos="4680"/>
        <w:tab w:val="clear" w:pos="9360"/>
        <w:tab w:val="center" w:pos="2995"/>
      </w:tabs>
      <w:spacing w:before="120"/>
    </w:pPr>
    <w:r>
      <w:t>[234]</w:t>
    </w:r>
    <w:r>
      <w:tab/>
    </w:r>
    <w:fldSimple w:instr=" PAGE  \* MERGEFORMAT ">
      <w:r w:rsidR="00F53F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EED" w:rsidRDefault="00F57EED" w:rsidP="009F0C77">
      <w:r>
        <w:separator/>
      </w:r>
    </w:p>
  </w:footnote>
  <w:footnote w:type="continuationSeparator" w:id="0">
    <w:p w:rsidR="00F57EED" w:rsidRDefault="00F57EED"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23548"/>
    <w:multiLevelType w:val="hybridMultilevel"/>
    <w:tmpl w:val="77AA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5B4DA5"/>
    <w:multiLevelType w:val="hybridMultilevel"/>
    <w:tmpl w:val="54D4C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11DG13"/>
    <w:docVar w:name="CoverBillType" w:val="b"/>
    <w:docVar w:name="docpath" w:val="L:\Council\bills\NL\13011DG13.DOCX"/>
    <w:docVar w:name="dvBillNumber" w:val="234"/>
    <w:docVar w:name="dvBillNumberPrefix" w:val="S. "/>
    <w:docVar w:name="dvOriginalBody" w:val="Senate"/>
    <w:docVar w:name="dvSteno" w:val="NL"/>
    <w:docVar w:name="NameofBody" w:val="s"/>
    <w:docVar w:name="vgroup2" w:val="Council"/>
  </w:docVars>
  <w:rsids>
    <w:rsidRoot w:val="000E54A1"/>
    <w:rsid w:val="00026C9A"/>
    <w:rsid w:val="00030D95"/>
    <w:rsid w:val="000449B7"/>
    <w:rsid w:val="000965A1"/>
    <w:rsid w:val="000A1AC7"/>
    <w:rsid w:val="000E1785"/>
    <w:rsid w:val="000E54A1"/>
    <w:rsid w:val="001023A4"/>
    <w:rsid w:val="0010776B"/>
    <w:rsid w:val="00133E66"/>
    <w:rsid w:val="00134ACF"/>
    <w:rsid w:val="00144E15"/>
    <w:rsid w:val="00165D7B"/>
    <w:rsid w:val="001A4A62"/>
    <w:rsid w:val="001A681E"/>
    <w:rsid w:val="001D08F2"/>
    <w:rsid w:val="002037CA"/>
    <w:rsid w:val="002047A2"/>
    <w:rsid w:val="00206EA4"/>
    <w:rsid w:val="002321B6"/>
    <w:rsid w:val="0023696B"/>
    <w:rsid w:val="00250967"/>
    <w:rsid w:val="002759C5"/>
    <w:rsid w:val="00277DEE"/>
    <w:rsid w:val="00280D88"/>
    <w:rsid w:val="0029283D"/>
    <w:rsid w:val="00294ABE"/>
    <w:rsid w:val="002A3EB4"/>
    <w:rsid w:val="002D6EAE"/>
    <w:rsid w:val="00325348"/>
    <w:rsid w:val="00393688"/>
    <w:rsid w:val="003C08AE"/>
    <w:rsid w:val="003C401B"/>
    <w:rsid w:val="003D1331"/>
    <w:rsid w:val="003D2587"/>
    <w:rsid w:val="003D411E"/>
    <w:rsid w:val="003E3C1E"/>
    <w:rsid w:val="003E6148"/>
    <w:rsid w:val="00400EAA"/>
    <w:rsid w:val="00411127"/>
    <w:rsid w:val="0041760A"/>
    <w:rsid w:val="004201E3"/>
    <w:rsid w:val="004777E8"/>
    <w:rsid w:val="004809EE"/>
    <w:rsid w:val="00493E7E"/>
    <w:rsid w:val="004B5C0E"/>
    <w:rsid w:val="004E3735"/>
    <w:rsid w:val="00511EE9"/>
    <w:rsid w:val="00521E00"/>
    <w:rsid w:val="00577C6C"/>
    <w:rsid w:val="0058501B"/>
    <w:rsid w:val="006215AA"/>
    <w:rsid w:val="006340D9"/>
    <w:rsid w:val="00643B8E"/>
    <w:rsid w:val="00665EBC"/>
    <w:rsid w:val="0069470D"/>
    <w:rsid w:val="006A476C"/>
    <w:rsid w:val="006C6A93"/>
    <w:rsid w:val="006E02F9"/>
    <w:rsid w:val="00733490"/>
    <w:rsid w:val="00753C04"/>
    <w:rsid w:val="00756946"/>
    <w:rsid w:val="00757F80"/>
    <w:rsid w:val="00771EEC"/>
    <w:rsid w:val="0077701B"/>
    <w:rsid w:val="00786819"/>
    <w:rsid w:val="00790453"/>
    <w:rsid w:val="007A325A"/>
    <w:rsid w:val="007A663E"/>
    <w:rsid w:val="007F1523"/>
    <w:rsid w:val="007F509E"/>
    <w:rsid w:val="007F5799"/>
    <w:rsid w:val="007F6947"/>
    <w:rsid w:val="00826899"/>
    <w:rsid w:val="00872729"/>
    <w:rsid w:val="008B0C3A"/>
    <w:rsid w:val="008E4008"/>
    <w:rsid w:val="008F4429"/>
    <w:rsid w:val="0091612F"/>
    <w:rsid w:val="009352BB"/>
    <w:rsid w:val="00970181"/>
    <w:rsid w:val="00990668"/>
    <w:rsid w:val="009F0C77"/>
    <w:rsid w:val="009F4DD1"/>
    <w:rsid w:val="00A64E80"/>
    <w:rsid w:val="00A741D9"/>
    <w:rsid w:val="00A9741D"/>
    <w:rsid w:val="00AC7B63"/>
    <w:rsid w:val="00AD4B17"/>
    <w:rsid w:val="00AD544F"/>
    <w:rsid w:val="00B26FA6"/>
    <w:rsid w:val="00B273B8"/>
    <w:rsid w:val="00B27952"/>
    <w:rsid w:val="00B741CB"/>
    <w:rsid w:val="00B934F3"/>
    <w:rsid w:val="00BB0D7A"/>
    <w:rsid w:val="00BB6347"/>
    <w:rsid w:val="00BD2134"/>
    <w:rsid w:val="00C038D8"/>
    <w:rsid w:val="00C045DD"/>
    <w:rsid w:val="00C3136F"/>
    <w:rsid w:val="00C3483A"/>
    <w:rsid w:val="00C74E9D"/>
    <w:rsid w:val="00C769F7"/>
    <w:rsid w:val="00C82FD3"/>
    <w:rsid w:val="00CC6B7B"/>
    <w:rsid w:val="00CD3619"/>
    <w:rsid w:val="00CF4447"/>
    <w:rsid w:val="00D405E7"/>
    <w:rsid w:val="00D41D56"/>
    <w:rsid w:val="00D6034E"/>
    <w:rsid w:val="00D6260D"/>
    <w:rsid w:val="00D6662B"/>
    <w:rsid w:val="00D95E2F"/>
    <w:rsid w:val="00D970A9"/>
    <w:rsid w:val="00DB3AC0"/>
    <w:rsid w:val="00DE68F0"/>
    <w:rsid w:val="00DF3845"/>
    <w:rsid w:val="00DF7E17"/>
    <w:rsid w:val="00E15473"/>
    <w:rsid w:val="00E628A3"/>
    <w:rsid w:val="00EB00A2"/>
    <w:rsid w:val="00EB1BF3"/>
    <w:rsid w:val="00EF3EEE"/>
    <w:rsid w:val="00F149A7"/>
    <w:rsid w:val="00F50BAF"/>
    <w:rsid w:val="00F52C10"/>
    <w:rsid w:val="00F53F35"/>
    <w:rsid w:val="00F57EE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F57EED"/>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B0D7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B0D7A"/>
    <w:pPr>
      <w:tabs>
        <w:tab w:val="right" w:pos="5904"/>
      </w:tabs>
    </w:pPr>
  </w:style>
  <w:style w:type="character" w:customStyle="1" w:styleId="Heading2Char">
    <w:name w:val="Heading 2 Char"/>
    <w:basedOn w:val="DefaultParagraphFont"/>
    <w:link w:val="Heading2"/>
    <w:rsid w:val="00F57EED"/>
    <w:rPr>
      <w:rFonts w:ascii="Arial" w:eastAsia="Times New Roman" w:hAnsi="Arial" w:cs="Times New Roman"/>
      <w:b/>
      <w:snapToGrid w:val="0"/>
      <w:sz w:val="24"/>
      <w:szCs w:val="20"/>
    </w:rPr>
  </w:style>
  <w:style w:type="paragraph" w:styleId="BodyText">
    <w:name w:val="Body Text"/>
    <w:basedOn w:val="Normal"/>
    <w:link w:val="BodyTextChar"/>
    <w:rsid w:val="00F57EED"/>
    <w:pPr>
      <w:widowControl w:val="0"/>
    </w:pPr>
    <w:rPr>
      <w:rFonts w:ascii="Arial" w:hAnsi="Arial"/>
      <w:snapToGrid w:val="0"/>
      <w:sz w:val="24"/>
    </w:rPr>
  </w:style>
  <w:style w:type="character" w:customStyle="1" w:styleId="BodyTextChar">
    <w:name w:val="Body Text Char"/>
    <w:basedOn w:val="DefaultParagraphFont"/>
    <w:link w:val="BodyText"/>
    <w:rsid w:val="00F57EED"/>
    <w:rPr>
      <w:rFonts w:ascii="Arial" w:eastAsia="Times New Roman" w:hAnsi="Arial" w:cs="Times New Roman"/>
      <w:snapToGrid w:val="0"/>
      <w:sz w:val="24"/>
      <w:szCs w:val="20"/>
    </w:rPr>
  </w:style>
  <w:style w:type="paragraph" w:styleId="NoSpacing">
    <w:name w:val="No Spacing"/>
    <w:uiPriority w:val="1"/>
    <w:qFormat/>
    <w:rsid w:val="00F57EED"/>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8C035-7660-453B-83BC-C310D35B6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3071</Words>
  <Characters>14680</Characters>
  <Application>Microsoft Office Word</Application>
  <DocSecurity>0</DocSecurity>
  <Lines>978</Lines>
  <Paragraphs>328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2014-06-03T21:48:00Z</cp:lastPrinted>
  <dcterms:created xsi:type="dcterms:W3CDTF">2014-06-03T22:51:00Z</dcterms:created>
  <dcterms:modified xsi:type="dcterms:W3CDTF">2014-06-03T22:51:00Z</dcterms:modified>
</cp:coreProperties>
</file>