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C73" w:rsidRDefault="00370C73" w:rsidP="00EB5C40">
      <w:pPr>
        <w:pStyle w:val="BillDots"/>
      </w:pPr>
      <w:r>
        <w:rPr>
          <w:strike/>
        </w:rPr>
        <w:t>Indicates Matter Stricken</w:t>
      </w:r>
    </w:p>
    <w:p w:rsidR="00370C73" w:rsidRPr="00370C73" w:rsidRDefault="00370C73" w:rsidP="00EB5C40">
      <w:pPr>
        <w:pStyle w:val="BillDots"/>
      </w:pPr>
      <w:r>
        <w:rPr>
          <w:u w:val="single"/>
        </w:rPr>
        <w:t>Indicates New Matter</w:t>
      </w:r>
    </w:p>
    <w:p w:rsidR="00370C73" w:rsidRDefault="00370C73" w:rsidP="00EB5C40">
      <w:pPr>
        <w:pStyle w:val="BillDots"/>
      </w:pPr>
    </w:p>
    <w:p w:rsidR="0049023D" w:rsidRDefault="0049023D" w:rsidP="00EB5C40">
      <w:pPr>
        <w:pStyle w:val="BillDots"/>
      </w:pPr>
    </w:p>
    <w:p w:rsidR="00FF3353" w:rsidRDefault="00FF3353" w:rsidP="00EB5C40">
      <w:pPr>
        <w:pStyle w:val="BillDots"/>
      </w:pPr>
      <w:r>
        <w:t>AMENDED--NOT PRINTED IN THE HOUSE</w:t>
      </w:r>
    </w:p>
    <w:p w:rsidR="00FF3353" w:rsidRDefault="00FF3353" w:rsidP="00EB5C40">
      <w:pPr>
        <w:pStyle w:val="BillDots"/>
      </w:pPr>
      <w:r>
        <w:t>Amt. No. (3366c001.ggs.ac13.docx)</w:t>
      </w:r>
    </w:p>
    <w:p w:rsidR="00FF3353" w:rsidRDefault="00FF3353" w:rsidP="00EB5C40">
      <w:pPr>
        <w:pStyle w:val="BillDots"/>
      </w:pPr>
      <w:r>
        <w:t>April 24, 2013</w:t>
      </w:r>
    </w:p>
    <w:p w:rsidR="00C30E3A" w:rsidRDefault="00C30E3A" w:rsidP="00C30E3A">
      <w:pPr>
        <w:pStyle w:val="BillDots"/>
      </w:pPr>
    </w:p>
    <w:p w:rsidR="00C30E3A" w:rsidRPr="00370C73" w:rsidRDefault="00C30E3A" w:rsidP="00C30E3A">
      <w:pPr>
        <w:pStyle w:val="BillDots"/>
        <w:tabs>
          <w:tab w:val="clear" w:pos="216"/>
          <w:tab w:val="clear" w:pos="432"/>
          <w:tab w:val="clear" w:pos="648"/>
          <w:tab w:val="clear" w:pos="864"/>
          <w:tab w:val="clear" w:pos="1080"/>
          <w:tab w:val="clear" w:pos="1296"/>
          <w:tab w:val="clear" w:pos="5904"/>
          <w:tab w:val="right" w:pos="5933"/>
        </w:tabs>
      </w:pPr>
      <w:r>
        <w:tab/>
      </w:r>
      <w:r>
        <w:rPr>
          <w:b/>
          <w:sz w:val="36"/>
        </w:rPr>
        <w:t>H. 3366</w:t>
      </w:r>
    </w:p>
    <w:p w:rsidR="00C30E3A" w:rsidRDefault="00C30E3A" w:rsidP="00C30E3A">
      <w:pPr>
        <w:pStyle w:val="BillDots"/>
      </w:pPr>
    </w:p>
    <w:p w:rsidR="00C30E3A" w:rsidRDefault="00C30E3A" w:rsidP="00C30E3A">
      <w:pPr>
        <w:pStyle w:val="BillDots"/>
      </w:pPr>
      <w:r>
        <w:t>Introduced by Reps. J.E. Smith, Long, Delleney, Skelton, Huggins, Allison, Toole, Felder, Cobb</w:t>
      </w:r>
      <w:r>
        <w:noBreakHyphen/>
        <w:t>Hunter and Jefferson</w:t>
      </w:r>
    </w:p>
    <w:p w:rsidR="00C30E3A" w:rsidRDefault="00C30E3A" w:rsidP="00C30E3A">
      <w:pPr>
        <w:pStyle w:val="BillDots"/>
      </w:pPr>
    </w:p>
    <w:p w:rsidR="00C30E3A" w:rsidRDefault="00C30E3A" w:rsidP="00C30E3A">
      <w:pPr>
        <w:pStyle w:val="BillDots"/>
      </w:pPr>
      <w:r>
        <w:t>S. Printed 4/18/13--H.</w:t>
      </w:r>
    </w:p>
    <w:p w:rsidR="00C30E3A" w:rsidRDefault="00C30E3A" w:rsidP="00C30E3A">
      <w:pPr>
        <w:pStyle w:val="BillDots"/>
      </w:pPr>
      <w:r>
        <w:t>Read the first time January 17, 2013.</w:t>
      </w:r>
    </w:p>
    <w:p w:rsidR="00C30E3A" w:rsidRPr="00370C73" w:rsidRDefault="00C30E3A" w:rsidP="00C30E3A">
      <w:pPr>
        <w:pStyle w:val="BillDots"/>
        <w:jc w:val="center"/>
      </w:pPr>
      <w:r>
        <w:rPr>
          <w:u w:val="single"/>
        </w:rPr>
        <w:t>            </w:t>
      </w:r>
    </w:p>
    <w:p w:rsidR="00FF3353" w:rsidRDefault="00FF3353" w:rsidP="00EB5C40">
      <w:pPr>
        <w:pStyle w:val="BillDots"/>
      </w:pPr>
    </w:p>
    <w:p w:rsidR="00370C73" w:rsidRDefault="00370C73" w:rsidP="00EB5C40">
      <w:pPr>
        <w:pStyle w:val="BillDots"/>
      </w:pPr>
    </w:p>
    <w:p w:rsidR="00370C73" w:rsidRDefault="00370C73" w:rsidP="00EB5C40">
      <w:pPr>
        <w:pStyle w:val="BillDots"/>
        <w:sectPr w:rsidR="00370C73" w:rsidSect="00370C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5C40" w:rsidRDefault="00EB5C40" w:rsidP="00EB5C40">
      <w:pPr>
        <w:pStyle w:val="BillDots"/>
      </w:pPr>
    </w:p>
    <w:p w:rsidR="00EB5C40" w:rsidRDefault="00EB5C40" w:rsidP="00EB5C40">
      <w:pPr>
        <w:pStyle w:val="Numbersforbill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C40" w:rsidRDefault="00EB5C40"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52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7CA5" w:rsidRDefault="00387CA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24C50">
        <w:rPr>
          <w:color w:val="000000" w:themeColor="text1"/>
          <w:u w:color="000000" w:themeColor="text1"/>
        </w:rPr>
        <w:t>TO AMEND THE CODE OF LAWS OF SOUTH CAROLINA, 1976, BY ADDING 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 xml:space="preserve">75 SO AS TO REQUIRE A HEALTH CARE PROVIDER TO GIVE A PATIENT AN OPPORTUNITY TO AUTHORIZE DISCLOSURE OF CERTAIN INFORMATION TO DESIGNATED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AND TO AUTHORIZE THE INVOLVEMENT OF </w:t>
      </w:r>
      <w:r>
        <w:rPr>
          <w:color w:val="000000" w:themeColor="text1"/>
          <w:u w:color="000000" w:themeColor="text1"/>
        </w:rPr>
        <w:t>THESE</w:t>
      </w:r>
      <w:r w:rsidRPr="00324C50">
        <w:rPr>
          <w:color w:val="000000" w:themeColor="text1"/>
          <w:u w:color="000000" w:themeColor="text1"/>
        </w:rPr>
        <w:t xml:space="preserve">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IN THE TREATMENT OF THE PATIENT</w:t>
      </w:r>
      <w:r>
        <w:rPr>
          <w:color w:val="000000" w:themeColor="text1"/>
          <w:u w:color="000000" w:themeColor="text1"/>
        </w:rPr>
        <w:t>;</w:t>
      </w:r>
      <w:r w:rsidRPr="00324C50">
        <w:rPr>
          <w:color w:val="000000" w:themeColor="text1"/>
          <w:u w:color="000000" w:themeColor="text1"/>
        </w:rPr>
        <w:t xml:space="preserve"> TO SPECIFY</w:t>
      </w:r>
      <w:r>
        <w:rPr>
          <w:color w:val="000000" w:themeColor="text1"/>
          <w:u w:color="000000" w:themeColor="text1"/>
        </w:rPr>
        <w:t xml:space="preserve"> WHEN THE OPPORTUNITY TO SIGN AN AUTHORIZATION MUST BE PROVIDED TO A PATIENT AND TO SPECIFY THE CONTENTS OF THE AUTHORIZATION; AND TO PROVIDE CIVIL AND CRIMINAL IMMUNITY FOR GOOD FAITH DISCLOSURE OF INFORMATION</w:t>
      </w:r>
      <w:r w:rsidRPr="00324C50">
        <w:rPr>
          <w:color w:val="000000" w:themeColor="text1"/>
          <w:u w:color="000000" w:themeColor="text1"/>
        </w:rPr>
        <w:t>; AND TO AMEND 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20, AS AMENDED, RELATING TO DEFINITIONS IN THE ADULT</w:t>
      </w:r>
      <w:r>
        <w:rPr>
          <w:color w:val="000000" w:themeColor="text1"/>
          <w:u w:color="000000" w:themeColor="text1"/>
        </w:rPr>
        <w:t xml:space="preserve"> HEALTH</w:t>
      </w:r>
      <w:r w:rsidRPr="00324C50">
        <w:rPr>
          <w:color w:val="000000" w:themeColor="text1"/>
          <w:u w:color="000000" w:themeColor="text1"/>
        </w:rPr>
        <w:t xml:space="preserve"> CARE CONSENT ACT, SO AS TO </w:t>
      </w:r>
      <w:r>
        <w:rPr>
          <w:color w:val="000000" w:themeColor="text1"/>
          <w:u w:color="000000" w:themeColor="text1"/>
        </w:rPr>
        <w:t>DEFINE “PATIENT” AND “TREATMENT” AND TO AMEND OTHER DEFINITIONS</w:t>
      </w:r>
      <w:r w:rsidRPr="00324C50">
        <w:rPr>
          <w:color w:val="000000" w:themeColor="text1"/>
          <w:u w:color="000000" w:themeColor="text1"/>
        </w:rPr>
        <w:t>.</w:t>
      </w:r>
    </w:p>
    <w:p w:rsidR="00866D08" w:rsidRDefault="00866D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4529E" w:rsidRDefault="00545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29E" w:rsidRDefault="00545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529E" w:rsidRDefault="00545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353"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SECTION</w:t>
      </w:r>
      <w:r w:rsidRPr="00A22C8F">
        <w:rPr>
          <w:u w:color="000000" w:themeColor="text1"/>
        </w:rPr>
        <w:tab/>
        <w:t>1.</w:t>
      </w:r>
      <w:r w:rsidRPr="00A22C8F">
        <w:rPr>
          <w:u w:color="000000" w:themeColor="text1"/>
        </w:rPr>
        <w:tab/>
        <w:t>Chapter 66, Title 44 of the 1976 Code is amended by adding:</w:t>
      </w:r>
    </w:p>
    <w:p w:rsidR="00445187" w:rsidRPr="00A22C8F" w:rsidRDefault="00445187"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“Section 44</w:t>
      </w:r>
      <w:r w:rsidRPr="00A22C8F">
        <w:rPr>
          <w:u w:color="000000" w:themeColor="text1"/>
        </w:rPr>
        <w:noBreakHyphen/>
        <w:t>66</w:t>
      </w:r>
      <w:r w:rsidRPr="00A22C8F">
        <w:rPr>
          <w:u w:color="000000" w:themeColor="text1"/>
        </w:rPr>
        <w:noBreakHyphen/>
        <w:t>75.</w:t>
      </w:r>
      <w:r w:rsidRPr="00A22C8F">
        <w:rPr>
          <w:u w:color="000000" w:themeColor="text1"/>
        </w:rPr>
        <w:tab/>
        <w:t>(A)</w:t>
      </w:r>
      <w:r w:rsidRPr="00A22C8F">
        <w:rPr>
          <w:u w:color="000000" w:themeColor="text1"/>
        </w:rPr>
        <w:tab/>
        <w:t>A health care provider or the provider’s agent shall provide on the patient information form an opportunity for the patient to designate a family member or other individual designated by the patient as a person with whom the provider may discuss the patient’s medical condition and treatment plan.</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(B) The authorization provided for in subsection (A):</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lastRenderedPageBreak/>
        <w:tab/>
      </w:r>
      <w:r w:rsidRPr="00A22C8F">
        <w:rPr>
          <w:u w:color="000000" w:themeColor="text1"/>
        </w:rPr>
        <w:tab/>
        <w:t>(1)</w:t>
      </w:r>
      <w:r w:rsidRPr="00A22C8F">
        <w:rPr>
          <w:u w:color="000000" w:themeColor="text1"/>
        </w:rPr>
        <w:tab/>
        <w:t>satisfies the requirements of Title 42 of the Code of Federal Regulations, relating to public health, and the privacy rule of the Health Insurance Portability and Accountability Act of 1996 (HIPAA);</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r>
      <w:r w:rsidRPr="00A22C8F">
        <w:rPr>
          <w:u w:color="000000" w:themeColor="text1"/>
        </w:rPr>
        <w:tab/>
        <w:t>(2)</w:t>
      </w:r>
      <w:r w:rsidRPr="00A22C8F">
        <w:rPr>
          <w:u w:color="000000" w:themeColor="text1"/>
        </w:rPr>
        <w:tab/>
        <w:t>must present the question, ‘Do you want to designate a family member or other individual with whom the provider may discuss your medical condition and treatment?’;</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r>
      <w:r w:rsidRPr="00A22C8F">
        <w:rPr>
          <w:u w:color="000000" w:themeColor="text1"/>
        </w:rPr>
        <w:tab/>
        <w:t>(3)</w:t>
      </w:r>
      <w:r w:rsidRPr="00A22C8F">
        <w:rPr>
          <w:u w:color="000000" w:themeColor="text1"/>
        </w:rPr>
        <w:tab/>
        <w:t>must specify that the patient may revoke or modify an authorization with regard to a family member or other individual designated by the patient in the authorization and that the revocation or modification must be in writing.</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(C)</w:t>
      </w:r>
      <w:r w:rsidRPr="00A22C8F">
        <w:rPr>
          <w:u w:color="000000" w:themeColor="text1"/>
        </w:rPr>
        <w:tab/>
        <w:t>A health care provider may disclose information pursuant to an authorization unless the provider has actual knowledge that the authorization has been revoked or modified.</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(D)</w:t>
      </w:r>
      <w:r w:rsidRPr="00A22C8F">
        <w:rPr>
          <w:u w:color="000000" w:themeColor="text1"/>
        </w:rPr>
        <w:tab/>
        <w:t xml:space="preserve">A health care provider who in good faith discloses information in accordance with an authorization signed by a patient pursuant to this section is not subject to civil liability, criminal liability, or disciplinary sanctions because of this disclosure. </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(E)</w:t>
      </w:r>
      <w:r w:rsidRPr="00A22C8F">
        <w:rPr>
          <w:u w:color="000000" w:themeColor="text1"/>
        </w:rPr>
        <w:tab/>
        <w:t>Nothing in this section may be construed to:</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r>
      <w:r w:rsidRPr="00A22C8F">
        <w:rPr>
          <w:u w:color="000000" w:themeColor="text1"/>
        </w:rPr>
        <w:tab/>
        <w:t>(1)</w:t>
      </w:r>
      <w:r w:rsidRPr="00A22C8F">
        <w:rPr>
          <w:u w:color="000000" w:themeColor="text1"/>
        </w:rPr>
        <w:tab/>
        <w:t>require a health care provider to disclose information that he otherwise may withhold or limit;</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r>
      <w:r w:rsidRPr="00A22C8F">
        <w:rPr>
          <w:u w:color="000000" w:themeColor="text1"/>
        </w:rPr>
        <w:tab/>
        <w:t>(2)</w:t>
      </w:r>
      <w:r w:rsidRPr="00A22C8F">
        <w:rPr>
          <w:u w:color="000000" w:themeColor="text1"/>
        </w:rPr>
        <w:tab/>
        <w:t xml:space="preserve">limit or prevent a provider from disclosing information without written authorization from the patient if this disclosure is otherwise lawful or permissible;  </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r>
      <w:r w:rsidRPr="00A22C8F">
        <w:rPr>
          <w:u w:color="000000" w:themeColor="text1"/>
        </w:rPr>
        <w:tab/>
        <w:t>(3)</w:t>
      </w:r>
      <w:r w:rsidRPr="00A22C8F">
        <w:rPr>
          <w:u w:color="000000" w:themeColor="text1"/>
        </w:rPr>
        <w:tab/>
        <w:t>prohibit a provider from receiving and using information relevant to the safe and effective treatment of the patient from family members; and</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r>
      <w:r w:rsidRPr="00A22C8F">
        <w:rPr>
          <w:u w:color="000000" w:themeColor="text1"/>
        </w:rPr>
        <w:tab/>
        <w:t>(4)</w:t>
      </w:r>
      <w:r w:rsidRPr="00A22C8F">
        <w:rPr>
          <w:u w:color="000000" w:themeColor="text1"/>
        </w:rPr>
        <w:tab/>
        <w:t>conflict with an individual’s health care power of attorney as provided for in Section 62</w:t>
      </w:r>
      <w:r w:rsidRPr="00A22C8F">
        <w:rPr>
          <w:u w:color="000000" w:themeColor="text1"/>
        </w:rPr>
        <w:noBreakHyphen/>
        <w:t>5</w:t>
      </w:r>
      <w:r w:rsidRPr="00A22C8F">
        <w:rPr>
          <w:u w:color="000000" w:themeColor="text1"/>
        </w:rPr>
        <w:noBreakHyphen/>
        <w:t>504.</w:t>
      </w:r>
    </w:p>
    <w:p w:rsidR="00FF3353"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(F)</w:t>
      </w:r>
      <w:r w:rsidRPr="00A22C8F">
        <w:rPr>
          <w:u w:color="000000" w:themeColor="text1"/>
        </w:rPr>
        <w:tab/>
        <w:t>Notwithstanding another provision of this chapter, this section does not apply to nursing homes, as defined in Section 44-7-130 or to a dentist, dental hygienist, or dental technician licensed in Chapter 15, Title 40.”</w:t>
      </w:r>
    </w:p>
    <w:p w:rsidR="00445187" w:rsidRPr="00A22C8F" w:rsidRDefault="00445187"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3353"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SECTION</w:t>
      </w:r>
      <w:r w:rsidRPr="00A22C8F">
        <w:rPr>
          <w:u w:color="000000" w:themeColor="text1"/>
        </w:rPr>
        <w:tab/>
        <w:t>2.</w:t>
      </w:r>
      <w:r w:rsidRPr="00A22C8F">
        <w:rPr>
          <w:u w:color="000000" w:themeColor="text1"/>
        </w:rPr>
        <w:tab/>
        <w:t>Section 44</w:t>
      </w:r>
      <w:r w:rsidRPr="00A22C8F">
        <w:rPr>
          <w:u w:color="000000" w:themeColor="text1"/>
        </w:rPr>
        <w:noBreakHyphen/>
        <w:t>66</w:t>
      </w:r>
      <w:r w:rsidRPr="00A22C8F">
        <w:rPr>
          <w:u w:color="000000" w:themeColor="text1"/>
        </w:rPr>
        <w:noBreakHyphen/>
        <w:t>20 of the 1976 Code, as last amended by Act 351 of 2002, is further amended to read:</w:t>
      </w:r>
    </w:p>
    <w:p w:rsidR="00445187" w:rsidRPr="00A22C8F" w:rsidRDefault="00445187"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“Section 44</w:t>
      </w:r>
      <w:r w:rsidRPr="00A22C8F">
        <w:rPr>
          <w:u w:color="000000" w:themeColor="text1"/>
        </w:rPr>
        <w:noBreakHyphen/>
        <w:t>66</w:t>
      </w:r>
      <w:r w:rsidRPr="00A22C8F">
        <w:rPr>
          <w:u w:color="000000" w:themeColor="text1"/>
        </w:rPr>
        <w:noBreakHyphen/>
        <w:t>20.</w:t>
      </w:r>
      <w:r w:rsidRPr="00A22C8F">
        <w:rPr>
          <w:u w:color="000000" w:themeColor="text1"/>
        </w:rPr>
        <w:tab/>
        <w:t xml:space="preserve">As used in this chapter: </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(1)</w:t>
      </w:r>
      <w:r w:rsidRPr="00A22C8F">
        <w:rPr>
          <w:u w:color="000000" w:themeColor="text1"/>
        </w:rPr>
        <w:tab/>
        <w:t xml:space="preserve">‘Health care’ means a procedure to diagnose or treat a human disease, ailment, defect, abnormality, or complaint, whether of physical or mental origin.  </w:t>
      </w:r>
      <w:r w:rsidRPr="00A22C8F">
        <w:rPr>
          <w:strike/>
          <w:u w:color="000000" w:themeColor="text1"/>
        </w:rPr>
        <w:t>It</w:t>
      </w:r>
      <w:r w:rsidRPr="00A22C8F">
        <w:rPr>
          <w:u w:color="000000" w:themeColor="text1"/>
        </w:rPr>
        <w:t xml:space="preserve"> </w:t>
      </w:r>
      <w:r w:rsidRPr="00A22C8F">
        <w:rPr>
          <w:u w:val="single" w:color="000000" w:themeColor="text1"/>
        </w:rPr>
        <w:t>Health care</w:t>
      </w:r>
      <w:r w:rsidRPr="00A22C8F">
        <w:rPr>
          <w:u w:color="000000" w:themeColor="text1"/>
        </w:rPr>
        <w:t xml:space="preserve"> also includes the provision of intermediate or skilled nursing care; services for the </w:t>
      </w:r>
      <w:r w:rsidRPr="00A22C8F">
        <w:rPr>
          <w:u w:color="000000" w:themeColor="text1"/>
        </w:rPr>
        <w:lastRenderedPageBreak/>
        <w:t xml:space="preserve">rehabilitation of injured, disabled, or sick persons; and the placement in or removal from a facility that provides these forms of care. </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(2)</w:t>
      </w:r>
      <w:r w:rsidRPr="00A22C8F">
        <w:rPr>
          <w:u w:color="000000" w:themeColor="text1"/>
        </w:rPr>
        <w:tab/>
        <w:t xml:space="preserve">‘Health care provider’ or ‘provider’ means a person, health care facility, organization, or corporation licensed, certified, or otherwise authorized or permitted by the laws of this State to administer health care. </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(3)</w:t>
      </w:r>
      <w:r w:rsidRPr="00A22C8F">
        <w:rPr>
          <w:u w:color="000000" w:themeColor="text1"/>
        </w:rPr>
        <w:tab/>
        <w:t>‘Health care professional’ means an individual who is licensed, certified, or otherwise authorized by the laws of this State to provide health care to members of the public.</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(4)</w:t>
      </w:r>
      <w:r w:rsidRPr="00A22C8F">
        <w:rPr>
          <w:u w:color="000000" w:themeColor="text1"/>
        </w:rPr>
        <w:tab/>
      </w:r>
      <w:r w:rsidRPr="00A22C8F">
        <w:rPr>
          <w:u w:val="single" w:color="000000" w:themeColor="text1"/>
        </w:rPr>
        <w:t>‘Patient’ means an individual sixteen years of age or older who presents or is presented to a health care provider for treatment.</w:t>
      </w:r>
      <w:r w:rsidRPr="00A22C8F">
        <w:rPr>
          <w:u w:color="000000" w:themeColor="text1"/>
        </w:rPr>
        <w:t xml:space="preserve"> </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w:t>
      </w:r>
      <w:r w:rsidRPr="00A22C8F">
        <w:rPr>
          <w:u w:val="single" w:color="000000" w:themeColor="text1"/>
        </w:rPr>
        <w:t>5</w:t>
      </w:r>
      <w:r w:rsidRPr="00A22C8F">
        <w:rPr>
          <w:u w:color="000000" w:themeColor="text1"/>
        </w:rPr>
        <w:t>)</w:t>
      </w:r>
      <w:r w:rsidRPr="00A22C8F">
        <w:rPr>
          <w:u w:color="000000" w:themeColor="text1"/>
        </w:rPr>
        <w:tab/>
        <w:t>‘Person’ includes, but is not limited to, an individual, a state agency, or a representative of a state agency.</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w:t>
      </w:r>
      <w:r w:rsidRPr="00A22C8F">
        <w:rPr>
          <w:strike/>
          <w:u w:color="000000" w:themeColor="text1"/>
        </w:rPr>
        <w:t>5</w:t>
      </w:r>
      <w:r w:rsidRPr="00A22C8F">
        <w:rPr>
          <w:u w:val="single" w:color="000000" w:themeColor="text1"/>
        </w:rPr>
        <w:t>6</w:t>
      </w:r>
      <w:r w:rsidRPr="00A22C8F">
        <w:rPr>
          <w:u w:color="000000" w:themeColor="text1"/>
        </w:rPr>
        <w:t>)</w:t>
      </w:r>
      <w:r w:rsidRPr="00A22C8F">
        <w:rPr>
          <w:u w:color="000000" w:themeColor="text1"/>
        </w:rPr>
        <w:tab/>
        <w:t xml:space="preserve">‘Physician’ means an individual who is licensed to practice medicine or osteopathy </w:t>
      </w:r>
      <w:r w:rsidRPr="00A22C8F">
        <w:rPr>
          <w:strike/>
          <w:u w:color="000000" w:themeColor="text1"/>
        </w:rPr>
        <w:t>under</w:t>
      </w:r>
      <w:r w:rsidRPr="00A22C8F">
        <w:rPr>
          <w:u w:color="000000" w:themeColor="text1"/>
        </w:rPr>
        <w:t xml:space="preserve"> </w:t>
      </w:r>
      <w:r w:rsidRPr="00A22C8F">
        <w:rPr>
          <w:u w:val="single" w:color="000000" w:themeColor="text1"/>
        </w:rPr>
        <w:t>pursuant to</w:t>
      </w:r>
      <w:r w:rsidRPr="00A22C8F">
        <w:rPr>
          <w:u w:color="000000" w:themeColor="text1"/>
        </w:rPr>
        <w:t xml:space="preserve"> Chapter 47</w:t>
      </w:r>
      <w:r w:rsidRPr="00A22C8F">
        <w:rPr>
          <w:u w:val="single" w:color="000000" w:themeColor="text1"/>
        </w:rPr>
        <w:t>,</w:t>
      </w:r>
      <w:r w:rsidRPr="00A22C8F">
        <w:rPr>
          <w:u w:color="000000" w:themeColor="text1"/>
        </w:rPr>
        <w:t xml:space="preserve"> </w:t>
      </w:r>
      <w:r w:rsidRPr="00A22C8F">
        <w:rPr>
          <w:strike/>
          <w:u w:color="000000" w:themeColor="text1"/>
        </w:rPr>
        <w:t>of</w:t>
      </w:r>
      <w:r w:rsidRPr="00A22C8F">
        <w:rPr>
          <w:u w:color="000000" w:themeColor="text1"/>
        </w:rPr>
        <w:t xml:space="preserve"> Title 40.</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22C8F">
        <w:rPr>
          <w:u w:color="000000" w:themeColor="text1"/>
        </w:rPr>
        <w:tab/>
      </w:r>
      <w:r w:rsidRPr="00A22C8F">
        <w:rPr>
          <w:u w:val="single" w:color="000000" w:themeColor="text1"/>
        </w:rPr>
        <w:t>(7)</w:t>
      </w:r>
      <w:r w:rsidRPr="00A22C8F">
        <w:rPr>
          <w:u w:color="000000" w:themeColor="text1"/>
        </w:rPr>
        <w:tab/>
      </w:r>
      <w:r w:rsidRPr="00A22C8F">
        <w:rPr>
          <w:u w:val="single" w:color="000000" w:themeColor="text1"/>
        </w:rPr>
        <w:t>‘Treatment’ means the broad range of emergency, outpatient, intermediate, and inpatient services and care that may be extended to a patient to diagnose and treat a human disease, aliment, defect, abnormality, or complaint, whether of physical or mental origin.  Treatment includes, but is not limited to, psychiatric, psychological, substance abuse, and counseling services.</w:t>
      </w:r>
    </w:p>
    <w:p w:rsidR="00FF3353" w:rsidRPr="00A22C8F"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C8F">
        <w:rPr>
          <w:u w:color="000000" w:themeColor="text1"/>
        </w:rPr>
        <w:tab/>
        <w:t>(</w:t>
      </w:r>
      <w:r w:rsidRPr="00A22C8F">
        <w:rPr>
          <w:strike/>
          <w:u w:color="000000" w:themeColor="text1"/>
        </w:rPr>
        <w:t>6</w:t>
      </w:r>
      <w:r w:rsidRPr="00A22C8F">
        <w:rPr>
          <w:u w:val="single" w:color="000000" w:themeColor="text1"/>
        </w:rPr>
        <w:t>8</w:t>
      </w:r>
      <w:r w:rsidRPr="00A22C8F">
        <w:rPr>
          <w:u w:color="000000" w:themeColor="text1"/>
        </w:rPr>
        <w:t>)</w:t>
      </w:r>
      <w:r w:rsidRPr="00A22C8F">
        <w:rPr>
          <w:u w:color="000000" w:themeColor="text1"/>
        </w:rPr>
        <w:tab/>
        <w:t xml:space="preserve">‘Unable to consent’ means unable to appreciate the nature and implications of the patient’s condition and proposed health care, to make a reasoned decision concerning the proposed health care, or to communicate that decision in an unambiguous manner.  This </w:t>
      </w:r>
      <w:r w:rsidRPr="00A22C8F">
        <w:rPr>
          <w:strike/>
          <w:u w:color="000000" w:themeColor="text1"/>
        </w:rPr>
        <w:t>definition</w:t>
      </w:r>
      <w:r w:rsidRPr="00A22C8F">
        <w:rPr>
          <w:u w:color="000000" w:themeColor="text1"/>
        </w:rPr>
        <w:t xml:space="preserve"> </w:t>
      </w:r>
      <w:r w:rsidRPr="00A22C8F">
        <w:rPr>
          <w:u w:val="single" w:color="000000" w:themeColor="text1"/>
        </w:rPr>
        <w:t>term</w:t>
      </w:r>
      <w:r w:rsidRPr="00A22C8F">
        <w:rPr>
          <w:u w:color="000000" w:themeColor="text1"/>
        </w:rPr>
        <w:t xml:space="preserve"> does not </w:t>
      </w:r>
      <w:r w:rsidRPr="00A22C8F">
        <w:rPr>
          <w:strike/>
          <w:u w:color="000000" w:themeColor="text1"/>
        </w:rPr>
        <w:t>include</w:t>
      </w:r>
      <w:r w:rsidRPr="00A22C8F">
        <w:rPr>
          <w:u w:color="000000" w:themeColor="text1"/>
        </w:rPr>
        <w:t xml:space="preserve"> </w:t>
      </w:r>
      <w:r w:rsidRPr="00A22C8F">
        <w:rPr>
          <w:u w:val="single" w:color="000000" w:themeColor="text1"/>
        </w:rPr>
        <w:t>apply to</w:t>
      </w:r>
      <w:r w:rsidRPr="00A22C8F">
        <w:rPr>
          <w:u w:color="000000" w:themeColor="text1"/>
        </w:rPr>
        <w:t xml:space="preserve"> minors, and this chapter does not affect the delivery of health care to minors unless they are married or have been determined judicially to be emancipated.  A patient’s inability to consent must be certified by 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w:t>
      </w:r>
      <w:r w:rsidRPr="00A22C8F">
        <w:rPr>
          <w:u w:color="000000" w:themeColor="text1"/>
        </w:rPr>
        <w:lastRenderedPageBreak/>
        <w:t>certification of a terminal illness required by Medicare, that certification meets the certification requirements of this item.”</w:t>
      </w:r>
    </w:p>
    <w:p w:rsidR="00FF3353"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FF3353" w:rsidP="00FF3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C8F">
        <w:rPr>
          <w:u w:color="000000" w:themeColor="text1"/>
        </w:rPr>
        <w:t>SECTION</w:t>
      </w:r>
      <w:r w:rsidRPr="00A22C8F">
        <w:rPr>
          <w:u w:color="000000" w:themeColor="text1"/>
        </w:rPr>
        <w:tab/>
        <w:t>3.</w:t>
      </w:r>
      <w:r w:rsidRPr="00A22C8F">
        <w:rPr>
          <w:u w:color="000000" w:themeColor="text1"/>
        </w:rPr>
        <w:tab/>
        <w:t>This act takes effect January 1, 2014</w:t>
      </w:r>
      <w:r w:rsidR="00387CA5" w:rsidRPr="00324C50">
        <w:rPr>
          <w:color w:val="000000" w:themeColor="text1"/>
          <w:u w:color="000000" w:themeColor="text1"/>
        </w:rPr>
        <w:t>.</w:t>
      </w:r>
    </w:p>
    <w:p w:rsidR="009F76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76A8" w:rsidRDefault="009F76A8" w:rsidP="00A67C63">
      <w:pPr>
        <w:suppressAutoHyphens/>
      </w:pPr>
    </w:p>
    <w:sectPr w:rsidR="009F76A8" w:rsidSect="00370C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29E" w:rsidRDefault="0054529E" w:rsidP="009F0C77">
      <w:r>
        <w:separator/>
      </w:r>
    </w:p>
  </w:endnote>
  <w:endnote w:type="continuationSeparator" w:id="0">
    <w:p w:rsidR="0054529E" w:rsidRDefault="005452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07A75A-7323-4C00-9F56-30E9375305CA}"/>
    <w:embedBold r:id="rId2" w:fontKey="{C61EDA47-3E17-4F41-A79F-12A597AF3042}"/>
  </w:font>
  <w:font w:name="Calibri">
    <w:panose1 w:val="020F0502020204030204"/>
    <w:charset w:val="00"/>
    <w:family w:val="swiss"/>
    <w:pitch w:val="variable"/>
    <w:sig w:usb0="E10002FF" w:usb1="4000ACFF" w:usb2="00000009" w:usb3="00000000" w:csb0="0000019F" w:csb1="00000000"/>
    <w:embedRegular r:id="rId3" w:fontKey="{8DAFDC69-68B6-4B02-BB23-1D03A0EA6CD0}"/>
  </w:font>
  <w:font w:name="Tahoma">
    <w:panose1 w:val="020B0604030504040204"/>
    <w:charset w:val="00"/>
    <w:family w:val="swiss"/>
    <w:pitch w:val="variable"/>
    <w:sig w:usb0="21002A87" w:usb1="80000000" w:usb2="00000008" w:usb3="00000000" w:csb0="000101FF" w:csb1="00000000"/>
    <w:embedRegular r:id="rId4" w:fontKey="{4129B7D5-84D1-4E08-845F-73491E22B807}"/>
  </w:font>
  <w:font w:name="Cambria">
    <w:panose1 w:val="02040503050406030204"/>
    <w:charset w:val="00"/>
    <w:family w:val="roman"/>
    <w:pitch w:val="variable"/>
    <w:sig w:usb0="E00002FF" w:usb1="400004FF" w:usb2="00000000" w:usb3="00000000" w:csb0="0000019F" w:csb1="00000000"/>
    <w:embedRegular r:id="rId5" w:fontKey="{38208E83-F189-4D82-83D4-59E9C75777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013" w:rsidRPr="009F76A8" w:rsidRDefault="009F76A8" w:rsidP="009F76A8">
    <w:pPr>
      <w:pStyle w:val="Footer"/>
      <w:tabs>
        <w:tab w:val="clear" w:pos="4680"/>
        <w:tab w:val="clear" w:pos="9360"/>
        <w:tab w:val="center" w:pos="2995"/>
      </w:tabs>
      <w:spacing w:before="120"/>
    </w:pPr>
    <w:r>
      <w:t>[3366</w:t>
    </w:r>
    <w:r w:rsidR="00370C73">
      <w:t>-</w:t>
    </w:r>
    <w:fldSimple w:instr=" PAGE  \* MERGEFORMAT ">
      <w:r w:rsidR="00A67C63">
        <w:rPr>
          <w:noProof/>
        </w:rPr>
        <w:t>1</w:t>
      </w:r>
    </w:fldSimple>
    <w:r w:rsidR="00370C7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C73" w:rsidRPr="009F76A8" w:rsidRDefault="00370C73" w:rsidP="009F76A8">
    <w:pPr>
      <w:pStyle w:val="Footer"/>
      <w:tabs>
        <w:tab w:val="clear" w:pos="4680"/>
        <w:tab w:val="clear" w:pos="9360"/>
        <w:tab w:val="center" w:pos="2995"/>
      </w:tabs>
      <w:spacing w:before="120"/>
    </w:pPr>
    <w:r>
      <w:t>[3366]</w:t>
    </w:r>
    <w:r>
      <w:tab/>
    </w:r>
    <w:fldSimple w:instr=" PAGE  \* MERGEFORMAT ">
      <w:r w:rsidR="00A67C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29E" w:rsidRDefault="0054529E" w:rsidP="009F0C77">
      <w:r>
        <w:separator/>
      </w:r>
    </w:p>
  </w:footnote>
  <w:footnote w:type="continuationSeparator" w:id="0">
    <w:p w:rsidR="0054529E" w:rsidRDefault="005452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57AC13"/>
    <w:docVar w:name="CoverBillType" w:val="b"/>
    <w:docVar w:name="docpath" w:val="L:\Council\bills\NBD\11057AC13.DOCX"/>
    <w:docVar w:name="dvBillNumber" w:val="3366"/>
    <w:docVar w:name="dvBillNumberPrefix" w:val="H. "/>
    <w:docVar w:name="dvOriginalBody" w:val="House"/>
    <w:docVar w:name="dvSteno" w:val="NBD"/>
    <w:docVar w:name="NameofBody" w:val="h"/>
    <w:docVar w:name="vgroup2" w:val="Council"/>
  </w:docVars>
  <w:rsids>
    <w:rsidRoot w:val="00621FC3"/>
    <w:rsid w:val="00011869"/>
    <w:rsid w:val="000E1785"/>
    <w:rsid w:val="000F40FA"/>
    <w:rsid w:val="0010776B"/>
    <w:rsid w:val="00133BB3"/>
    <w:rsid w:val="00133E66"/>
    <w:rsid w:val="001435A3"/>
    <w:rsid w:val="00163E35"/>
    <w:rsid w:val="001D08F2"/>
    <w:rsid w:val="001D525B"/>
    <w:rsid w:val="001D7F4F"/>
    <w:rsid w:val="002321B6"/>
    <w:rsid w:val="00250967"/>
    <w:rsid w:val="002543C8"/>
    <w:rsid w:val="00284AAE"/>
    <w:rsid w:val="002E5912"/>
    <w:rsid w:val="00301B21"/>
    <w:rsid w:val="00325348"/>
    <w:rsid w:val="0032732C"/>
    <w:rsid w:val="00336AD0"/>
    <w:rsid w:val="0037079A"/>
    <w:rsid w:val="00370C73"/>
    <w:rsid w:val="00387CA5"/>
    <w:rsid w:val="003D01E8"/>
    <w:rsid w:val="003E2013"/>
    <w:rsid w:val="003E5288"/>
    <w:rsid w:val="003F6D79"/>
    <w:rsid w:val="0041760A"/>
    <w:rsid w:val="00417C01"/>
    <w:rsid w:val="00445187"/>
    <w:rsid w:val="0046643A"/>
    <w:rsid w:val="004809EE"/>
    <w:rsid w:val="0049023D"/>
    <w:rsid w:val="004E7D54"/>
    <w:rsid w:val="005273C6"/>
    <w:rsid w:val="00530A69"/>
    <w:rsid w:val="0054529E"/>
    <w:rsid w:val="00545593"/>
    <w:rsid w:val="00577C6C"/>
    <w:rsid w:val="00590B24"/>
    <w:rsid w:val="005C2FE2"/>
    <w:rsid w:val="005E2BC9"/>
    <w:rsid w:val="00605102"/>
    <w:rsid w:val="006215AA"/>
    <w:rsid w:val="00621FC3"/>
    <w:rsid w:val="006913C9"/>
    <w:rsid w:val="0069470D"/>
    <w:rsid w:val="007143CA"/>
    <w:rsid w:val="00734609"/>
    <w:rsid w:val="00734F00"/>
    <w:rsid w:val="007A70AE"/>
    <w:rsid w:val="008362E8"/>
    <w:rsid w:val="00866D08"/>
    <w:rsid w:val="008A1768"/>
    <w:rsid w:val="008F0F33"/>
    <w:rsid w:val="008F4429"/>
    <w:rsid w:val="0094021A"/>
    <w:rsid w:val="009B44AF"/>
    <w:rsid w:val="009C6A0B"/>
    <w:rsid w:val="009F0C77"/>
    <w:rsid w:val="009F4DD1"/>
    <w:rsid w:val="009F76A8"/>
    <w:rsid w:val="00A41684"/>
    <w:rsid w:val="00A64E80"/>
    <w:rsid w:val="00A67C63"/>
    <w:rsid w:val="00A72BCD"/>
    <w:rsid w:val="00A741D9"/>
    <w:rsid w:val="00A833AB"/>
    <w:rsid w:val="00A9741D"/>
    <w:rsid w:val="00AC4EC0"/>
    <w:rsid w:val="00AD4B17"/>
    <w:rsid w:val="00B412D4"/>
    <w:rsid w:val="00BE3C22"/>
    <w:rsid w:val="00C0345E"/>
    <w:rsid w:val="00C30E3A"/>
    <w:rsid w:val="00C3483A"/>
    <w:rsid w:val="00C528AC"/>
    <w:rsid w:val="00C6770A"/>
    <w:rsid w:val="00C74E9D"/>
    <w:rsid w:val="00C82FD3"/>
    <w:rsid w:val="00C849ED"/>
    <w:rsid w:val="00C92819"/>
    <w:rsid w:val="00CC3177"/>
    <w:rsid w:val="00CC6B7B"/>
    <w:rsid w:val="00CD2089"/>
    <w:rsid w:val="00D73A67"/>
    <w:rsid w:val="00D970A9"/>
    <w:rsid w:val="00DC2BC6"/>
    <w:rsid w:val="00DF3845"/>
    <w:rsid w:val="00E41911"/>
    <w:rsid w:val="00E92EEF"/>
    <w:rsid w:val="00EB5C40"/>
    <w:rsid w:val="00F24442"/>
    <w:rsid w:val="00F40B95"/>
    <w:rsid w:val="00F50AE3"/>
    <w:rsid w:val="00F67CF1"/>
    <w:rsid w:val="00F840F0"/>
    <w:rsid w:val="00FB0D0D"/>
    <w:rsid w:val="00FB43B4"/>
    <w:rsid w:val="00FF33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CA5"/>
    <w:rPr>
      <w:rFonts w:ascii="Tahoma" w:hAnsi="Tahoma" w:cs="Tahoma"/>
      <w:sz w:val="16"/>
      <w:szCs w:val="16"/>
    </w:rPr>
  </w:style>
  <w:style w:type="character" w:customStyle="1" w:styleId="BalloonTextChar">
    <w:name w:val="Balloon Text Char"/>
    <w:basedOn w:val="DefaultParagraphFont"/>
    <w:link w:val="BalloonText"/>
    <w:uiPriority w:val="99"/>
    <w:semiHidden/>
    <w:rsid w:val="00387C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0A008-4164-4357-A911-C86E02AA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977</Words>
  <Characters>5630</Characters>
  <Application>Microsoft Office Word</Application>
  <DocSecurity>0</DocSecurity>
  <Lines>137</Lines>
  <Paragraphs>32</Paragraphs>
  <ScaleCrop>false</ScaleCrop>
  <Company>LPITS</Company>
  <LinksUpToDate>false</LinksUpToDate>
  <CharactersWithSpaces>6575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2013-04-24T22:26:00Z</cp:lastPrinted>
  <dcterms:created xsi:type="dcterms:W3CDTF">2013-04-24T22:58:00Z</dcterms:created>
  <dcterms:modified xsi:type="dcterms:W3CDTF">2013-04-24T22:58:00Z</dcterms:modified>
</cp:coreProperties>
</file>