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392" w:rsidRDefault="00D54392" w:rsidP="00D54392">
      <w:pPr>
        <w:widowControl w:val="0"/>
        <w:jc w:val="center"/>
      </w:pPr>
      <w:bookmarkStart w:id="0" w:name="_GoBack"/>
      <w:bookmarkEnd w:id="0"/>
      <w:r w:rsidRPr="00D54392">
        <w:rPr>
          <w:b/>
        </w:rPr>
        <w:t>South Carolina General Assembly</w:t>
      </w:r>
    </w:p>
    <w:p w:rsidR="00D54392" w:rsidRDefault="00D54392" w:rsidP="00D54392">
      <w:pPr>
        <w:widowControl w:val="0"/>
        <w:jc w:val="center"/>
      </w:pPr>
      <w:r>
        <w:t>121st Session, 2015-2016</w:t>
      </w:r>
    </w:p>
    <w:p w:rsidR="00D54392" w:rsidRDefault="00D54392" w:rsidP="00D54392">
      <w:pPr>
        <w:widowControl w:val="0"/>
        <w:jc w:val="left"/>
      </w:pPr>
    </w:p>
    <w:p w:rsidR="00D54392" w:rsidRDefault="00D54392" w:rsidP="00D54392">
      <w:pPr>
        <w:widowControl w:val="0"/>
        <w:jc w:val="left"/>
        <w:rPr>
          <w:b/>
        </w:rPr>
      </w:pPr>
      <w:r w:rsidRPr="00D54392">
        <w:rPr>
          <w:b/>
        </w:rPr>
        <w:t>S.</w:t>
      </w:r>
      <w:r>
        <w:rPr>
          <w:b/>
        </w:rPr>
        <w:t xml:space="preserve"> </w:t>
      </w:r>
      <w:r w:rsidRPr="00D54392">
        <w:rPr>
          <w:b/>
        </w:rPr>
        <w:t>1126</w:t>
      </w:r>
    </w:p>
    <w:p w:rsidR="00D54392" w:rsidRDefault="00D54392" w:rsidP="00D54392">
      <w:pPr>
        <w:widowControl w:val="0"/>
        <w:jc w:val="left"/>
        <w:rPr>
          <w:b/>
        </w:rPr>
      </w:pPr>
    </w:p>
    <w:p w:rsidR="00D54392" w:rsidRDefault="00D54392" w:rsidP="00D54392">
      <w:pPr>
        <w:widowControl w:val="0"/>
        <w:jc w:val="left"/>
      </w:pPr>
      <w:r w:rsidRPr="00D54392">
        <w:rPr>
          <w:b/>
        </w:rPr>
        <w:t>STATUS INFORMATION</w:t>
      </w:r>
    </w:p>
    <w:p w:rsidR="00D54392" w:rsidRDefault="00D54392" w:rsidP="00D54392">
      <w:pPr>
        <w:widowControl w:val="0"/>
        <w:jc w:val="left"/>
      </w:pPr>
    </w:p>
    <w:p w:rsidR="00D54392" w:rsidRDefault="00D54392" w:rsidP="00D54392">
      <w:pPr>
        <w:widowControl w:val="0"/>
        <w:jc w:val="left"/>
      </w:pPr>
      <w:r>
        <w:t>General Bill</w:t>
      </w:r>
    </w:p>
    <w:p w:rsidR="00D54392" w:rsidRDefault="00D54392" w:rsidP="00D54392">
      <w:pPr>
        <w:widowControl w:val="0"/>
        <w:jc w:val="left"/>
      </w:pPr>
      <w:r>
        <w:t>Sponsors: Senator Hembree</w:t>
      </w:r>
    </w:p>
    <w:p w:rsidR="00D54392" w:rsidRDefault="00D54392" w:rsidP="00D54392">
      <w:pPr>
        <w:widowControl w:val="0"/>
        <w:jc w:val="left"/>
      </w:pPr>
      <w:r>
        <w:t>Document Path: l:\council\bills\ms\7219ahb16.docx</w:t>
      </w:r>
    </w:p>
    <w:p w:rsidR="001D7B3E" w:rsidRDefault="001D7B3E" w:rsidP="00D54392">
      <w:pPr>
        <w:widowControl w:val="0"/>
        <w:jc w:val="left"/>
      </w:pPr>
      <w:r>
        <w:t>Companion/Similar bill(s): 4981</w:t>
      </w:r>
    </w:p>
    <w:p w:rsidR="00D54392" w:rsidRDefault="00D54392" w:rsidP="00D54392">
      <w:pPr>
        <w:widowControl w:val="0"/>
        <w:jc w:val="left"/>
      </w:pPr>
    </w:p>
    <w:p w:rsidR="00B6724D" w:rsidRDefault="00B6724D" w:rsidP="00D54392">
      <w:pPr>
        <w:widowControl w:val="0"/>
        <w:jc w:val="left"/>
      </w:pPr>
      <w:r>
        <w:t>Introduced in the Senate on February 25, 2016</w:t>
      </w:r>
    </w:p>
    <w:p w:rsidR="00B6724D" w:rsidRPr="00B6724D" w:rsidRDefault="00B6724D" w:rsidP="00D54392">
      <w:pPr>
        <w:widowControl w:val="0"/>
        <w:jc w:val="left"/>
      </w:pPr>
      <w:r>
        <w:t xml:space="preserve">Currently residing in the Senate Committee on </w:t>
      </w:r>
      <w:r w:rsidRPr="00B6724D">
        <w:rPr>
          <w:b/>
        </w:rPr>
        <w:t>Judiciary</w:t>
      </w:r>
    </w:p>
    <w:p w:rsidR="00B6724D" w:rsidRDefault="00B6724D" w:rsidP="00D54392">
      <w:pPr>
        <w:widowControl w:val="0"/>
        <w:jc w:val="left"/>
      </w:pPr>
    </w:p>
    <w:p w:rsidR="00D54392" w:rsidRDefault="00D54392" w:rsidP="00D54392">
      <w:pPr>
        <w:widowControl w:val="0"/>
        <w:jc w:val="left"/>
      </w:pPr>
      <w:r>
        <w:t xml:space="preserve">Summary: </w:t>
      </w:r>
      <w:r w:rsidR="00CB6E98">
        <w:t>Circuit Court attendance; docket</w:t>
      </w:r>
    </w:p>
    <w:p w:rsidR="00D54392" w:rsidRDefault="00D54392" w:rsidP="00D54392">
      <w:pPr>
        <w:widowControl w:val="0"/>
        <w:jc w:val="left"/>
      </w:pPr>
    </w:p>
    <w:p w:rsidR="00D54392" w:rsidRDefault="00D54392" w:rsidP="00D54392">
      <w:pPr>
        <w:widowControl w:val="0"/>
        <w:jc w:val="left"/>
      </w:pPr>
    </w:p>
    <w:p w:rsidR="00D54392" w:rsidRDefault="00D54392" w:rsidP="00D54392">
      <w:pPr>
        <w:widowControl w:val="0"/>
        <w:tabs>
          <w:tab w:val="center" w:pos="590"/>
          <w:tab w:val="center" w:pos="1440"/>
          <w:tab w:val="left" w:pos="1872"/>
          <w:tab w:val="left" w:pos="9187"/>
        </w:tabs>
        <w:jc w:val="left"/>
      </w:pPr>
      <w:r w:rsidRPr="00D54392">
        <w:rPr>
          <w:b/>
        </w:rPr>
        <w:t>HISTORY OF LEGISLATIVE ACTIONS</w:t>
      </w:r>
    </w:p>
    <w:p w:rsidR="00D54392" w:rsidRDefault="00D54392" w:rsidP="00D54392">
      <w:pPr>
        <w:widowControl w:val="0"/>
        <w:tabs>
          <w:tab w:val="center" w:pos="590"/>
          <w:tab w:val="center" w:pos="1440"/>
          <w:tab w:val="left" w:pos="1872"/>
          <w:tab w:val="left" w:pos="9187"/>
        </w:tabs>
        <w:jc w:val="left"/>
      </w:pPr>
    </w:p>
    <w:p w:rsidR="00D54392" w:rsidRPr="00D54392" w:rsidRDefault="00D54392" w:rsidP="00D54392">
      <w:pPr>
        <w:widowControl w:val="0"/>
        <w:tabs>
          <w:tab w:val="center" w:pos="590"/>
          <w:tab w:val="center" w:pos="1440"/>
          <w:tab w:val="left" w:pos="1872"/>
          <w:tab w:val="left" w:pos="9187"/>
        </w:tabs>
        <w:jc w:val="left"/>
      </w:pPr>
      <w:r w:rsidRPr="00D54392">
        <w:rPr>
          <w:u w:val="single"/>
        </w:rPr>
        <w:tab/>
        <w:t>Date</w:t>
      </w:r>
      <w:r w:rsidRPr="00D54392">
        <w:rPr>
          <w:u w:val="single"/>
        </w:rPr>
        <w:tab/>
        <w:t>Body</w:t>
      </w:r>
      <w:r w:rsidRPr="00D54392">
        <w:rPr>
          <w:u w:val="single"/>
        </w:rPr>
        <w:tab/>
        <w:t>Action Description with journal page number</w:t>
      </w:r>
      <w:r w:rsidRPr="00D54392">
        <w:rPr>
          <w:u w:val="single"/>
        </w:rPr>
        <w:tab/>
      </w:r>
    </w:p>
    <w:p w:rsidR="00B6724D" w:rsidRDefault="00B6724D" w:rsidP="00B6724D">
      <w:pPr>
        <w:widowControl w:val="0"/>
        <w:tabs>
          <w:tab w:val="right" w:pos="1008"/>
          <w:tab w:val="left" w:pos="1152"/>
          <w:tab w:val="left" w:pos="1872"/>
          <w:tab w:val="left" w:pos="9187"/>
        </w:tabs>
        <w:ind w:left="2088" w:hanging="2088"/>
        <w:jc w:val="left"/>
      </w:pPr>
      <w:r>
        <w:tab/>
        <w:t>2/25/2016</w:t>
      </w:r>
      <w:r>
        <w:tab/>
        <w:t>Senate</w:t>
      </w:r>
      <w:r>
        <w:tab/>
      </w:r>
      <w:r w:rsidRPr="0092299C">
        <w:t>Introduced and read first time (</w:t>
      </w:r>
      <w:hyperlink r:id="rId7" w:history="1">
        <w:r w:rsidRPr="003509C5">
          <w:rPr>
            <w:rStyle w:val="Hyperlink"/>
          </w:rPr>
          <w:t>Senate Journal</w:t>
        </w:r>
        <w:r w:rsidRPr="003509C5">
          <w:rPr>
            <w:rStyle w:val="Hyperlink"/>
          </w:rPr>
          <w:noBreakHyphen/>
          <w:t>page 6</w:t>
        </w:r>
      </w:hyperlink>
      <w:r w:rsidRPr="0092299C">
        <w:t>)</w:t>
      </w:r>
    </w:p>
    <w:p w:rsidR="00B6724D" w:rsidRDefault="00B6724D" w:rsidP="00B6724D">
      <w:pPr>
        <w:widowControl w:val="0"/>
        <w:tabs>
          <w:tab w:val="right" w:pos="1008"/>
          <w:tab w:val="left" w:pos="1152"/>
          <w:tab w:val="left" w:pos="1872"/>
          <w:tab w:val="left" w:pos="9187"/>
        </w:tabs>
        <w:ind w:left="2088" w:hanging="2088"/>
        <w:jc w:val="left"/>
      </w:pPr>
      <w:r>
        <w:tab/>
        <w:t>2/25/2016</w:t>
      </w:r>
      <w:r>
        <w:tab/>
        <w:t>Senate</w:t>
      </w:r>
      <w:r>
        <w:tab/>
      </w:r>
      <w:r w:rsidRPr="0092299C">
        <w:t>Ref</w:t>
      </w:r>
      <w:r>
        <w:t xml:space="preserve">erred to Committee on </w:t>
      </w:r>
      <w:r w:rsidRPr="0092299C">
        <w:rPr>
          <w:b/>
        </w:rPr>
        <w:t>Judiciary</w:t>
      </w:r>
      <w:r>
        <w:t xml:space="preserve"> </w:t>
      </w:r>
      <w:r w:rsidRPr="0092299C">
        <w:t>(</w:t>
      </w:r>
      <w:hyperlink r:id="rId8" w:history="1">
        <w:r w:rsidRPr="003509C5">
          <w:rPr>
            <w:rStyle w:val="Hyperlink"/>
          </w:rPr>
          <w:t>Senate Journal</w:t>
        </w:r>
        <w:r w:rsidRPr="003509C5">
          <w:rPr>
            <w:rStyle w:val="Hyperlink"/>
          </w:rPr>
          <w:noBreakHyphen/>
          <w:t>page 6</w:t>
        </w:r>
      </w:hyperlink>
      <w:r w:rsidRPr="0092299C">
        <w:t>)</w:t>
      </w:r>
    </w:p>
    <w:p w:rsidR="00B6724D" w:rsidRDefault="00B6724D" w:rsidP="00B6724D">
      <w:pPr>
        <w:widowControl w:val="0"/>
        <w:tabs>
          <w:tab w:val="right" w:pos="1008"/>
          <w:tab w:val="left" w:pos="1152"/>
          <w:tab w:val="left" w:pos="1872"/>
          <w:tab w:val="left" w:pos="9187"/>
        </w:tabs>
        <w:ind w:left="2088" w:hanging="2088"/>
        <w:jc w:val="left"/>
      </w:pPr>
      <w:r>
        <w:tab/>
        <w:t>2/25/2016</w:t>
      </w:r>
      <w:r>
        <w:tab/>
        <w:t>Senate</w:t>
      </w:r>
      <w:r>
        <w:tab/>
      </w:r>
      <w:r w:rsidRPr="0092299C">
        <w:t>Referred to Sub</w:t>
      </w:r>
      <w:r>
        <w:t xml:space="preserve">committee: Hembree (ch), Hutto, </w:t>
      </w:r>
      <w:r w:rsidRPr="0092299C">
        <w:t>Massey, Coleman, Young</w:t>
      </w:r>
    </w:p>
    <w:p w:rsidR="00B6724D" w:rsidRDefault="00B6724D" w:rsidP="00B6724D">
      <w:pPr>
        <w:widowControl w:val="0"/>
        <w:tabs>
          <w:tab w:val="right" w:pos="1008"/>
          <w:tab w:val="left" w:pos="1152"/>
          <w:tab w:val="left" w:pos="1872"/>
          <w:tab w:val="left" w:pos="9187"/>
        </w:tabs>
        <w:ind w:left="2088" w:hanging="2088"/>
        <w:jc w:val="left"/>
      </w:pPr>
      <w:r>
        <w:tab/>
        <w:t>4/13/2016</w:t>
      </w:r>
      <w:r>
        <w:tab/>
        <w:t>Senate</w:t>
      </w:r>
      <w:r>
        <w:tab/>
      </w:r>
      <w:r w:rsidRPr="0092299C">
        <w:t xml:space="preserve">Committee report: </w:t>
      </w:r>
      <w:r>
        <w:t xml:space="preserve">Majority favorable with amend., minority unfavorable </w:t>
      </w:r>
      <w:r w:rsidRPr="0092299C">
        <w:rPr>
          <w:b/>
        </w:rPr>
        <w:t>Judiciary</w:t>
      </w:r>
      <w:r>
        <w:t xml:space="preserve"> </w:t>
      </w:r>
      <w:r w:rsidRPr="0092299C">
        <w:t>(</w:t>
      </w:r>
      <w:hyperlink r:id="rId9" w:history="1">
        <w:r w:rsidRPr="003509C5">
          <w:rPr>
            <w:rStyle w:val="Hyperlink"/>
          </w:rPr>
          <w:t>Senate Journal</w:t>
        </w:r>
        <w:r w:rsidRPr="003509C5">
          <w:rPr>
            <w:rStyle w:val="Hyperlink"/>
          </w:rPr>
          <w:noBreakHyphen/>
          <w:t>page 18</w:t>
        </w:r>
      </w:hyperlink>
      <w:r w:rsidRPr="0092299C">
        <w:t>)</w:t>
      </w:r>
    </w:p>
    <w:p w:rsidR="00B6724D" w:rsidRDefault="00B6724D" w:rsidP="00B6724D">
      <w:pPr>
        <w:widowControl w:val="0"/>
        <w:tabs>
          <w:tab w:val="right" w:pos="1008"/>
          <w:tab w:val="left" w:pos="1152"/>
          <w:tab w:val="left" w:pos="1872"/>
          <w:tab w:val="left" w:pos="9187"/>
        </w:tabs>
        <w:ind w:left="2088" w:hanging="2088"/>
        <w:jc w:val="left"/>
      </w:pPr>
      <w:r>
        <w:tab/>
        <w:t>4/14/2016</w:t>
      </w:r>
      <w:r>
        <w:tab/>
      </w:r>
      <w:r>
        <w:tab/>
      </w:r>
      <w:r w:rsidRPr="0092299C">
        <w:t>Scrivener's error corrected</w:t>
      </w:r>
    </w:p>
    <w:p w:rsidR="00B6724D" w:rsidRDefault="00B6724D" w:rsidP="00B6724D">
      <w:pPr>
        <w:widowControl w:val="0"/>
        <w:tabs>
          <w:tab w:val="right" w:pos="1008"/>
          <w:tab w:val="left" w:pos="1152"/>
          <w:tab w:val="left" w:pos="1872"/>
          <w:tab w:val="left" w:pos="9187"/>
        </w:tabs>
        <w:ind w:left="2088" w:hanging="2088"/>
        <w:jc w:val="left"/>
        <w:rPr>
          <w:b/>
        </w:rPr>
      </w:pPr>
      <w:r>
        <w:tab/>
        <w:t>5/31/2016</w:t>
      </w:r>
      <w:r>
        <w:tab/>
        <w:t>Senate</w:t>
      </w:r>
      <w:r>
        <w:tab/>
      </w:r>
      <w:r w:rsidRPr="0092299C">
        <w:t xml:space="preserve">Recommitted to Committee on </w:t>
      </w:r>
      <w:r w:rsidRPr="0092299C">
        <w:rPr>
          <w:b/>
        </w:rPr>
        <w:t>Judiciary</w:t>
      </w:r>
    </w:p>
    <w:p w:rsidR="00B6724D" w:rsidRDefault="00B6724D" w:rsidP="00B6724D">
      <w:pPr>
        <w:widowControl w:val="0"/>
        <w:tabs>
          <w:tab w:val="right" w:pos="1008"/>
          <w:tab w:val="left" w:pos="1152"/>
          <w:tab w:val="left" w:pos="1872"/>
          <w:tab w:val="left" w:pos="9187"/>
        </w:tabs>
        <w:ind w:left="2088" w:hanging="2088"/>
        <w:jc w:val="left"/>
      </w:pPr>
    </w:p>
    <w:p w:rsidR="00D54392" w:rsidRDefault="00D54392" w:rsidP="00D54392">
      <w:pPr>
        <w:widowControl w:val="0"/>
        <w:tabs>
          <w:tab w:val="right" w:pos="1008"/>
          <w:tab w:val="left" w:pos="1152"/>
          <w:tab w:val="left" w:pos="1872"/>
          <w:tab w:val="left" w:pos="9187"/>
        </w:tabs>
        <w:ind w:left="2088" w:hanging="2088"/>
        <w:jc w:val="left"/>
      </w:pPr>
      <w:r>
        <w:t xml:space="preserve">View the latest </w:t>
      </w:r>
      <w:hyperlink r:id="rId10" w:history="1">
        <w:r w:rsidRPr="00D54392">
          <w:rPr>
            <w:rStyle w:val="Hyperlink"/>
          </w:rPr>
          <w:t>legislative information</w:t>
        </w:r>
      </w:hyperlink>
      <w:r>
        <w:t xml:space="preserve"> at the website</w:t>
      </w:r>
    </w:p>
    <w:p w:rsidR="00D54392" w:rsidRDefault="00D54392" w:rsidP="00D54392">
      <w:pPr>
        <w:widowControl w:val="0"/>
        <w:tabs>
          <w:tab w:val="right" w:pos="1008"/>
          <w:tab w:val="left" w:pos="1152"/>
          <w:tab w:val="left" w:pos="1872"/>
          <w:tab w:val="left" w:pos="9187"/>
        </w:tabs>
        <w:ind w:left="2088" w:hanging="2088"/>
        <w:jc w:val="left"/>
      </w:pPr>
    </w:p>
    <w:p w:rsidR="00D54392" w:rsidRPr="00D54392" w:rsidRDefault="00D54392" w:rsidP="00D54392">
      <w:pPr>
        <w:widowControl w:val="0"/>
        <w:tabs>
          <w:tab w:val="right" w:pos="1008"/>
          <w:tab w:val="left" w:pos="1152"/>
          <w:tab w:val="left" w:pos="1872"/>
          <w:tab w:val="left" w:pos="9187"/>
        </w:tabs>
        <w:ind w:left="2088" w:hanging="2088"/>
        <w:jc w:val="left"/>
      </w:pPr>
    </w:p>
    <w:p w:rsidR="00D54392" w:rsidRDefault="00D54392" w:rsidP="00D54392">
      <w:pPr>
        <w:widowControl w:val="0"/>
        <w:jc w:val="left"/>
      </w:pPr>
      <w:r w:rsidRPr="00D54392">
        <w:rPr>
          <w:b/>
        </w:rPr>
        <w:t>VERSIONS OF THIS BILL</w:t>
      </w:r>
    </w:p>
    <w:p w:rsidR="00D54392" w:rsidRDefault="00D54392" w:rsidP="00D54392">
      <w:pPr>
        <w:widowControl w:val="0"/>
        <w:jc w:val="left"/>
      </w:pPr>
    </w:p>
    <w:p w:rsidR="00D54392" w:rsidRDefault="003509C5" w:rsidP="00D54392">
      <w:pPr>
        <w:widowControl w:val="0"/>
        <w:jc w:val="left"/>
      </w:pPr>
      <w:hyperlink r:id="rId11" w:history="1">
        <w:r w:rsidR="00D54392">
          <w:rPr>
            <w:rStyle w:val="Hyperlink"/>
          </w:rPr>
          <w:t>2/25/2016</w:t>
        </w:r>
      </w:hyperlink>
    </w:p>
    <w:p w:rsidR="00D54392" w:rsidRDefault="003509C5" w:rsidP="00D54392">
      <w:hyperlink r:id="rId12" w:history="1">
        <w:r w:rsidR="008325DD" w:rsidRPr="008325DD">
          <w:rPr>
            <w:rStyle w:val="Hyperlink"/>
          </w:rPr>
          <w:t>4/13/2016</w:t>
        </w:r>
      </w:hyperlink>
    </w:p>
    <w:p w:rsidR="008325DD" w:rsidRDefault="003509C5" w:rsidP="00D54392">
      <w:hyperlink r:id="rId13" w:history="1">
        <w:r w:rsidR="007C04E7" w:rsidRPr="007C04E7">
          <w:rPr>
            <w:rStyle w:val="Hyperlink"/>
          </w:rPr>
          <w:t>4/14/2016</w:t>
        </w:r>
      </w:hyperlink>
    </w:p>
    <w:p w:rsidR="007C04E7" w:rsidRDefault="007C04E7" w:rsidP="00D54392"/>
    <w:p w:rsidR="00D54392" w:rsidRDefault="00D54392" w:rsidP="00D54392">
      <w:pPr>
        <w:sectPr w:rsidR="00D54392" w:rsidSect="00D54392">
          <w:pgSz w:w="12240" w:h="15840" w:code="1"/>
          <w:pgMar w:top="1080" w:right="1440" w:bottom="1080" w:left="1440" w:header="720" w:footer="720" w:gutter="0"/>
          <w:cols w:space="720"/>
          <w:noEndnote/>
          <w:docGrid w:linePitch="360"/>
        </w:sectPr>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C04E7" w:rsidRPr="00BD45DF"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Pr="00BD45DF" w:rsidRDefault="007C04E7" w:rsidP="00BD45DF">
      <w:pPr>
        <w:tabs>
          <w:tab w:val="right" w:pos="5933"/>
        </w:tabs>
        <w:suppressAutoHyphens/>
      </w:pPr>
      <w:r>
        <w:tab/>
      </w:r>
      <w:r>
        <w:rPr>
          <w:b/>
          <w:sz w:val="36"/>
        </w:rPr>
        <w:t>S. 1126</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342A">
        <w:t>Senator Hembree</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0D2EDF">
      <w:pPr>
        <w:tabs>
          <w:tab w:val="right" w:pos="5933"/>
        </w:tabs>
        <w:suppressAutoHyphens/>
      </w:pPr>
      <w:r>
        <w:t>S. Printed 4/13/16--S.</w:t>
      </w:r>
      <w:r>
        <w:tab/>
        <w:t>[SEC 4/14/16 5:43 PM]</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1126) </w:t>
      </w:r>
      <w:r w:rsidRPr="00BD45DF">
        <w:rPr>
          <w:color w:val="000000" w:themeColor="text1"/>
          <w:u w:color="000000" w:themeColor="text1"/>
        </w:rPr>
        <w:t>to amend Section 1</w:t>
      </w:r>
      <w:r w:rsidRPr="00BD45DF">
        <w:rPr>
          <w:color w:val="000000" w:themeColor="text1"/>
          <w:u w:color="000000" w:themeColor="text1"/>
        </w:rPr>
        <w:noBreakHyphen/>
        <w:t>7</w:t>
      </w:r>
      <w:r w:rsidRPr="00BD45DF">
        <w:rPr>
          <w:color w:val="000000" w:themeColor="text1"/>
          <w:u w:color="000000" w:themeColor="text1"/>
        </w:rPr>
        <w:noBreakHyphen/>
        <w:t>330, Code of Laws of South Carolina, 1976, relating to attendance at circuit court and preparation and publication of the docket</w:t>
      </w:r>
      <w:r>
        <w:t>, etc., respectfully</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Pr="007F4D9E"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Amend the bill, as and if amended, page 3, by striking line 26, in Section 1-7-330(B)(2), as contained in SECTION 1 and inserting therein the following:</w:t>
      </w:r>
    </w:p>
    <w:p w:rsidR="007C04E7" w:rsidRPr="007F4D9E"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D9E">
        <w:t>/</w:t>
      </w:r>
      <w:r w:rsidRPr="007F4D9E">
        <w:tab/>
      </w:r>
      <w:r w:rsidRPr="007F4D9E">
        <w:tab/>
      </w:r>
      <w:r w:rsidRPr="007F4D9E">
        <w:rPr>
          <w:u w:val="single"/>
        </w:rPr>
        <w:t>preside over the trial of that case, without the consent of the parties</w:t>
      </w:r>
      <w:r w:rsidRPr="007F4D9E">
        <w:t>.</w:t>
      </w:r>
      <w:r w:rsidRPr="007F4D9E">
        <w:tab/>
      </w:r>
      <w:r w:rsidRPr="007F4D9E">
        <w:tab/>
        <w:t>/</w:t>
      </w:r>
    </w:p>
    <w:p w:rsidR="007C04E7" w:rsidRPr="007F4D9E"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Renumber sections to conform.</w:t>
      </w:r>
    </w:p>
    <w:p w:rsidR="007C04E7"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Amend title to conform.</w:t>
      </w:r>
    </w:p>
    <w:p w:rsidR="007C04E7" w:rsidRPr="007F4D9E"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C04E7" w:rsidRDefault="007C04E7" w:rsidP="00BD45DF">
      <w:pPr>
        <w:tabs>
          <w:tab w:val="left" w:pos="3024"/>
        </w:tabs>
        <w:suppressAutoHyphens/>
      </w:pPr>
      <w:r>
        <w:t>Majority favorable.</w:t>
      </w:r>
      <w:r>
        <w:tab/>
        <w:t>Minority unfavorable.</w:t>
      </w:r>
    </w:p>
    <w:p w:rsidR="007C04E7" w:rsidRPr="00BD45DF" w:rsidRDefault="007C04E7" w:rsidP="00BD45DF">
      <w:pPr>
        <w:tabs>
          <w:tab w:val="left" w:pos="3024"/>
        </w:tabs>
        <w:suppressAutoHyphens/>
        <w:rPr>
          <w:sz w:val="20"/>
        </w:rPr>
      </w:pPr>
      <w:r w:rsidRPr="00BD45DF">
        <w:rPr>
          <w:sz w:val="20"/>
        </w:rPr>
        <w:t>LARRY A. MARTIN</w:t>
      </w:r>
      <w:r w:rsidRPr="00BD45DF">
        <w:rPr>
          <w:sz w:val="20"/>
        </w:rPr>
        <w:tab/>
        <w:t>GREG HEMBREE</w:t>
      </w:r>
    </w:p>
    <w:p w:rsidR="007C04E7" w:rsidRPr="00BD45DF" w:rsidRDefault="007C04E7" w:rsidP="00BD45DF">
      <w:pPr>
        <w:tabs>
          <w:tab w:val="left" w:pos="3024"/>
        </w:tabs>
        <w:suppressAutoHyphens/>
        <w:rPr>
          <w:sz w:val="20"/>
        </w:rPr>
      </w:pPr>
      <w:r>
        <w:t>For Majority.</w:t>
      </w:r>
      <w:r>
        <w:tab/>
      </w:r>
      <w:r>
        <w:rPr>
          <w:sz w:val="20"/>
        </w:rPr>
        <w:t>MARGIE BRIGHT MATTHEWS</w:t>
      </w:r>
    </w:p>
    <w:p w:rsidR="007C04E7" w:rsidRDefault="007C04E7" w:rsidP="00BD45DF">
      <w:pPr>
        <w:tabs>
          <w:tab w:val="left" w:pos="3024"/>
        </w:tabs>
        <w:suppressAutoHyphens/>
      </w:pPr>
      <w:r>
        <w:tab/>
        <w:t>For Minority.</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t>Fiscal Impact Summary</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D45DF">
        <w:rPr>
          <w:rFonts w:eastAsiaTheme="minorHAnsi" w:cstheme="minorBidi"/>
          <w:szCs w:val="22"/>
        </w:rPr>
        <w:tab/>
        <w:t>This bill would have no expenditure impact on the general fund, federal funds, or other funds.</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t>Explanation of Fiscal Impact</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lastRenderedPageBreak/>
        <w:t>State Expenditure</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D45DF">
        <w:rPr>
          <w:rFonts w:eastAsiaTheme="minorHAnsi" w:cstheme="minorBidi"/>
          <w:szCs w:val="22"/>
        </w:rPr>
        <w:tab/>
        <w:t>This bill amends Section 1-7-330 to authorize the circuit solicitor to administer the general sessions court docket plan, to require the solicitor to schedule pleas and motions, and to require the solicitor to publish the docket of defendants who must appear to enter pleas of guilt, reject plea offers, or address other preliminary matters before the court. It also requires the circuit solicitor to submit the trial docket to the chief administrative judge and to notify defendants and their counsel, if any, of the trial docket.  Further, it ensures that the circuit solicitor’s authority to administer the docket does not interfere with defendants’ constitutional rights and allows the circuit court to rule on issues arising from the administration of the docket. The bill also preserves all crime victims’ constitutional rights.</w:t>
      </w:r>
    </w:p>
    <w:p w:rsidR="007C04E7" w:rsidRPr="00BD45DF" w:rsidRDefault="007C04E7"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D45DF">
        <w:rPr>
          <w:b/>
          <w:szCs w:val="22"/>
        </w:rPr>
        <w:t xml:space="preserve">Judicial Department and Commission on Prosecution Coordination.  </w:t>
      </w:r>
      <w:r w:rsidRPr="00BD45DF">
        <w:rPr>
          <w:b/>
          <w:szCs w:val="22"/>
        </w:rPr>
        <w:tab/>
      </w:r>
      <w:r w:rsidRPr="00BD45DF">
        <w:rPr>
          <w:szCs w:val="22"/>
        </w:rPr>
        <w:t>These agencies report that this bill will have no expenditure impact on the general fund, federal funds, or other funds.</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04E7" w:rsidRPr="00BD45DF"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04E7" w:rsidSect="00BD45D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Pr="00325348" w:rsidRDefault="007C04E7"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E53">
        <w:rPr>
          <w:color w:val="000000" w:themeColor="text1"/>
          <w:u w:color="000000" w:themeColor="text1"/>
        </w:rPr>
        <w:t>TO AMEND SECTION 1</w:t>
      </w:r>
      <w:r>
        <w:rPr>
          <w:color w:val="000000" w:themeColor="text1"/>
          <w:u w:color="000000" w:themeColor="text1"/>
        </w:rPr>
        <w:noBreakHyphen/>
      </w:r>
      <w:r w:rsidRPr="003D4E53">
        <w:rPr>
          <w:color w:val="000000" w:themeColor="text1"/>
          <w:u w:color="000000" w:themeColor="text1"/>
        </w:rPr>
        <w:t>7</w:t>
      </w:r>
      <w:r>
        <w:rPr>
          <w:color w:val="000000" w:themeColor="text1"/>
          <w:u w:color="000000" w:themeColor="text1"/>
        </w:rPr>
        <w:noBreakHyphen/>
      </w:r>
      <w:r w:rsidRPr="003D4E53">
        <w:rPr>
          <w:color w:val="000000" w:themeColor="text1"/>
          <w:u w:color="000000" w:themeColor="text1"/>
        </w:rPr>
        <w:t xml:space="preserve">330, CODE OF LAWS OF SOUTH CAROLINA, 1976, </w:t>
      </w:r>
      <w:r>
        <w:rPr>
          <w:color w:val="000000" w:themeColor="text1"/>
          <w:u w:color="000000" w:themeColor="text1"/>
        </w:rPr>
        <w:t xml:space="preserve">RELATING TO ATTENDANCE AT CIRCUIT COURT AND PREPARATION AND PUBLICATION OF THE DOCKET, </w:t>
      </w:r>
      <w:r w:rsidRPr="003D4E53">
        <w:rPr>
          <w:color w:val="000000" w:themeColor="text1"/>
          <w:u w:color="000000" w:themeColor="text1"/>
        </w:rPr>
        <w:t>SO AS TO CLARIFY THE ROLE OF THE CIRCUIT SOLICITOR IN THE DEVELOPMENT, DISSEMINATION</w:t>
      </w:r>
      <w:r>
        <w:rPr>
          <w:color w:val="000000" w:themeColor="text1"/>
          <w:u w:color="000000" w:themeColor="text1"/>
        </w:rPr>
        <w:t>,</w:t>
      </w:r>
      <w:r w:rsidRPr="003D4E53">
        <w:rPr>
          <w:color w:val="000000" w:themeColor="text1"/>
          <w:u w:color="000000" w:themeColor="text1"/>
        </w:rPr>
        <w:t xml:space="preserve"> AND EXECUTION OF THE GENERAL SESSIONS COURT DOCKET PLAN; TO ALLOW FOR A MOTIONS PRACTICE TO ESTABLISH THE ORDER O</w:t>
      </w:r>
      <w:r>
        <w:rPr>
          <w:color w:val="000000" w:themeColor="text1"/>
          <w:u w:color="000000" w:themeColor="text1"/>
        </w:rPr>
        <w:t>F CASES ON THE GENERAL SESSIONS COURT</w:t>
      </w:r>
      <w:r w:rsidRPr="003D4E53">
        <w:rPr>
          <w:color w:val="000000" w:themeColor="text1"/>
          <w:u w:color="000000" w:themeColor="text1"/>
        </w:rPr>
        <w:t xml:space="preserve"> DOCKET; TO PROVIDE THAT THE CIRCUIT SOLICITOR</w:t>
      </w:r>
      <w:r w:rsidRPr="000D5853">
        <w:rPr>
          <w:color w:val="000000" w:themeColor="text1"/>
          <w:u w:color="000000" w:themeColor="text1"/>
        </w:rPr>
        <w:t>’</w:t>
      </w:r>
      <w:r w:rsidRPr="003D4E53">
        <w:rPr>
          <w:color w:val="000000" w:themeColor="text1"/>
          <w:u w:color="000000" w:themeColor="text1"/>
        </w:rPr>
        <w:t>S ABILIT</w:t>
      </w:r>
      <w:r>
        <w:rPr>
          <w:color w:val="000000" w:themeColor="text1"/>
          <w:u w:color="000000" w:themeColor="text1"/>
        </w:rPr>
        <w:t>Y TO ADMINISTER THE DOCKET MAY</w:t>
      </w:r>
      <w:r w:rsidRPr="003D4E53">
        <w:rPr>
          <w:color w:val="000000" w:themeColor="text1"/>
          <w:u w:color="000000" w:themeColor="text1"/>
        </w:rPr>
        <w:t xml:space="preserve"> NOT INTERFERE WITH A DEF</w:t>
      </w:r>
      <w:r>
        <w:rPr>
          <w:color w:val="000000" w:themeColor="text1"/>
          <w:u w:color="000000" w:themeColor="text1"/>
        </w:rPr>
        <w:t>ENDANT</w:t>
      </w:r>
      <w:r w:rsidRPr="000D5853">
        <w:rPr>
          <w:color w:val="000000" w:themeColor="text1"/>
          <w:u w:color="000000" w:themeColor="text1"/>
        </w:rPr>
        <w:t>’</w:t>
      </w:r>
      <w:r>
        <w:rPr>
          <w:color w:val="000000" w:themeColor="text1"/>
          <w:u w:color="000000" w:themeColor="text1"/>
        </w:rPr>
        <w:t xml:space="preserve">S CONSTITUTIONAL RIGHTS; </w:t>
      </w:r>
      <w:r w:rsidRPr="003D4E53">
        <w:rPr>
          <w:color w:val="000000" w:themeColor="text1"/>
          <w:u w:color="000000" w:themeColor="text1"/>
        </w:rPr>
        <w:t>TO ALLOW FOR THE CIRCUIT COURT TO RUL</w:t>
      </w:r>
      <w:r>
        <w:rPr>
          <w:color w:val="000000" w:themeColor="text1"/>
          <w:u w:color="000000" w:themeColor="text1"/>
        </w:rPr>
        <w:t>E ON CASES AND CONTROVERSIES AR</w:t>
      </w:r>
      <w:r w:rsidRPr="003D4E53">
        <w:rPr>
          <w:color w:val="000000" w:themeColor="text1"/>
          <w:u w:color="000000" w:themeColor="text1"/>
        </w:rPr>
        <w:t>ISING FROM THE ADMINISTRATION OF THE DOCKET</w:t>
      </w:r>
      <w:r>
        <w:rPr>
          <w:color w:val="000000" w:themeColor="text1"/>
          <w:u w:color="000000" w:themeColor="text1"/>
        </w:rPr>
        <w:t>;</w:t>
      </w:r>
      <w:r w:rsidRPr="003D4E53">
        <w:rPr>
          <w:color w:val="000000" w:themeColor="text1"/>
          <w:u w:color="000000" w:themeColor="text1"/>
        </w:rPr>
        <w:t xml:space="preserve"> AND TO PRESERVE ALL CRIME VICTIMS</w:t>
      </w:r>
      <w:r w:rsidRPr="000D5853">
        <w:rPr>
          <w:color w:val="000000" w:themeColor="text1"/>
          <w:u w:color="000000" w:themeColor="text1"/>
        </w:rPr>
        <w:t>’</w:t>
      </w:r>
      <w:r w:rsidRPr="003D4E53">
        <w:rPr>
          <w:color w:val="000000" w:themeColor="text1"/>
          <w:u w:color="000000" w:themeColor="text1"/>
        </w:rPr>
        <w:t xml:space="preserve"> CONSTITUTIONAL RIGHTS.</w:t>
      </w:r>
      <w:bookmarkStart w:id="4" w:name="titleend"/>
      <w:bookmarkEnd w:id="4"/>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w:t>
      </w:r>
      <w:r>
        <w:rPr>
          <w:color w:val="000000" w:themeColor="text1"/>
          <w:u w:color="000000" w:themeColor="text1"/>
        </w:rPr>
        <w:t>,</w:t>
      </w:r>
      <w:r w:rsidRPr="003D4E53">
        <w:rPr>
          <w:color w:val="000000" w:themeColor="text1"/>
          <w:u w:color="000000" w:themeColor="text1"/>
        </w:rPr>
        <w:t xml:space="preserve"> under Section 4</w:t>
      </w:r>
      <w:r>
        <w:rPr>
          <w:color w:val="000000" w:themeColor="text1"/>
          <w:u w:color="000000" w:themeColor="text1"/>
        </w:rPr>
        <w:t xml:space="preserve">, Article V </w:t>
      </w:r>
      <w:r w:rsidRPr="003D4E53">
        <w:rPr>
          <w:color w:val="000000" w:themeColor="text1"/>
          <w:u w:color="000000" w:themeColor="text1"/>
        </w:rPr>
        <w:t>of the South Carolina Constitution</w:t>
      </w:r>
      <w:r>
        <w:rPr>
          <w:color w:val="000000" w:themeColor="text1"/>
          <w:u w:color="000000" w:themeColor="text1"/>
        </w:rPr>
        <w:t xml:space="preserve">, 1895, the Supreme Court only may </w:t>
      </w:r>
      <w:r w:rsidRPr="003D4E53">
        <w:rPr>
          <w:color w:val="000000" w:themeColor="text1"/>
          <w:u w:color="000000" w:themeColor="text1"/>
        </w:rPr>
        <w:t>create rules governing practice and p</w:t>
      </w:r>
      <w:r>
        <w:rPr>
          <w:color w:val="000000" w:themeColor="text1"/>
          <w:u w:color="000000" w:themeColor="text1"/>
        </w:rPr>
        <w:t>rocedure in the courts of this S</w:t>
      </w:r>
      <w:r w:rsidRPr="003D4E53">
        <w:rPr>
          <w:color w:val="000000" w:themeColor="text1"/>
          <w:u w:color="000000" w:themeColor="text1"/>
        </w:rPr>
        <w:t xml:space="preserve">tate that are not in conflict </w:t>
      </w:r>
      <w:r>
        <w:rPr>
          <w:color w:val="000000" w:themeColor="text1"/>
          <w:u w:color="000000" w:themeColor="text1"/>
        </w:rPr>
        <w:t>with statutory law; and</w:t>
      </w: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pursuant to the South Carolina Constitution it is the legislature</w:t>
      </w:r>
      <w:r w:rsidRPr="000D5853">
        <w:rPr>
          <w:color w:val="000000" w:themeColor="text1"/>
          <w:u w:color="000000" w:themeColor="text1"/>
        </w:rPr>
        <w:t>’</w:t>
      </w:r>
      <w:r w:rsidRPr="003D4E53">
        <w:rPr>
          <w:color w:val="000000" w:themeColor="text1"/>
          <w:u w:color="000000" w:themeColor="text1"/>
        </w:rPr>
        <w:t>s responsibility to establish laws concerning South Carolina</w:t>
      </w:r>
      <w:r w:rsidRPr="000D5853">
        <w:rPr>
          <w:color w:val="000000" w:themeColor="text1"/>
          <w:u w:color="000000" w:themeColor="text1"/>
        </w:rPr>
        <w:t>’</w:t>
      </w:r>
      <w:r w:rsidRPr="003D4E53">
        <w:rPr>
          <w:color w:val="000000" w:themeColor="text1"/>
          <w:u w:color="000000" w:themeColor="text1"/>
        </w:rPr>
        <w:t xml:space="preserve">s criminal justice system; and </w:t>
      </w: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the judicial branch of government, as rep</w:t>
      </w:r>
      <w:r>
        <w:rPr>
          <w:color w:val="000000" w:themeColor="text1"/>
          <w:u w:color="000000" w:themeColor="text1"/>
        </w:rPr>
        <w:t>resented by the courts of this S</w:t>
      </w:r>
      <w:r w:rsidRPr="003D4E53">
        <w:rPr>
          <w:color w:val="000000" w:themeColor="text1"/>
          <w:u w:color="000000" w:themeColor="text1"/>
        </w:rPr>
        <w:t>tate, should be independent and rule on cases and controversies properly before it; and</w:t>
      </w: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the executive branch of government in the criminal justice system, as represented by the state</w:t>
      </w:r>
      <w:r w:rsidRPr="000D5853">
        <w:rPr>
          <w:color w:val="000000" w:themeColor="text1"/>
          <w:u w:color="000000" w:themeColor="text1"/>
        </w:rPr>
        <w:t>’</w:t>
      </w:r>
      <w:r w:rsidRPr="003D4E53">
        <w:rPr>
          <w:color w:val="000000" w:themeColor="text1"/>
          <w:u w:color="000000" w:themeColor="text1"/>
        </w:rPr>
        <w:t xml:space="preserve">s </w:t>
      </w:r>
      <w:r>
        <w:rPr>
          <w:color w:val="000000" w:themeColor="text1"/>
          <w:u w:color="000000" w:themeColor="text1"/>
        </w:rPr>
        <w:t>circuit solicitor</w:t>
      </w:r>
      <w:r w:rsidRPr="003D4E53">
        <w:rPr>
          <w:color w:val="000000" w:themeColor="text1"/>
          <w:u w:color="000000" w:themeColor="text1"/>
        </w:rPr>
        <w:t>s, is directly accountable to the people of South Carolina; and</w:t>
      </w: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developing and publishing a plan to properly proceed with the state</w:t>
      </w:r>
      <w:r w:rsidRPr="000D5853">
        <w:rPr>
          <w:color w:val="000000" w:themeColor="text1"/>
          <w:u w:color="000000" w:themeColor="text1"/>
        </w:rPr>
        <w:t>’</w:t>
      </w:r>
      <w:r w:rsidRPr="003D4E53">
        <w:rPr>
          <w:color w:val="000000" w:themeColor="text1"/>
          <w:u w:color="000000" w:themeColor="text1"/>
        </w:rPr>
        <w:t>s criminal prosecutions, preparing the general session</w:t>
      </w:r>
      <w:r w:rsidRPr="000D5853">
        <w:rPr>
          <w:color w:val="000000" w:themeColor="text1"/>
          <w:u w:color="000000" w:themeColor="text1"/>
        </w:rPr>
        <w:t>’</w:t>
      </w:r>
      <w:r w:rsidRPr="003D4E53">
        <w:rPr>
          <w:color w:val="000000" w:themeColor="text1"/>
          <w:u w:color="000000" w:themeColor="text1"/>
        </w:rPr>
        <w:t>s docket for the state</w:t>
      </w:r>
      <w:r w:rsidRPr="000D5853">
        <w:rPr>
          <w:color w:val="000000" w:themeColor="text1"/>
          <w:u w:color="000000" w:themeColor="text1"/>
        </w:rPr>
        <w:t>’</w:t>
      </w:r>
      <w:r w:rsidRPr="003D4E53">
        <w:rPr>
          <w:color w:val="000000" w:themeColor="text1"/>
          <w:u w:color="000000" w:themeColor="text1"/>
        </w:rPr>
        <w:t>s prosecutions and determining the order in which the docketed cases are called for trial is an executive function of the government pro</w:t>
      </w:r>
      <w:r>
        <w:rPr>
          <w:color w:val="000000" w:themeColor="text1"/>
          <w:u w:color="000000" w:themeColor="text1"/>
        </w:rPr>
        <w:t>perly performed by the elected circuit solicitor</w:t>
      </w:r>
      <w:r w:rsidRPr="003D4E53">
        <w:rPr>
          <w:color w:val="000000" w:themeColor="text1"/>
          <w:u w:color="000000" w:themeColor="text1"/>
        </w:rPr>
        <w:t>; and</w:t>
      </w: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 xml:space="preserve">Whereas, the executive branch of government, as represented by the </w:t>
      </w:r>
      <w:r>
        <w:rPr>
          <w:color w:val="000000" w:themeColor="text1"/>
          <w:u w:color="000000" w:themeColor="text1"/>
        </w:rPr>
        <w:t>circuit solicitor</w:t>
      </w:r>
      <w:r w:rsidRPr="003D4E53">
        <w:rPr>
          <w:color w:val="000000" w:themeColor="text1"/>
          <w:u w:color="000000" w:themeColor="text1"/>
        </w:rPr>
        <w:t>, when exercising a discretionary official act such as preparing the general sessions court docket and determining the order in which docketed cases are called, should not be restrained or controlled by another branch of government; and</w:t>
      </w: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4E7" w:rsidRPr="003D4E53"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trial court retains the ultimate authority to determin</w:t>
      </w:r>
      <w:r>
        <w:rPr>
          <w:color w:val="000000" w:themeColor="text1"/>
          <w:u w:color="000000" w:themeColor="text1"/>
        </w:rPr>
        <w:t>e whether a case called by the circuit solicitor</w:t>
      </w:r>
      <w:r w:rsidRPr="003D4E53">
        <w:rPr>
          <w:color w:val="000000" w:themeColor="text1"/>
          <w:u w:color="000000" w:themeColor="text1"/>
        </w:rPr>
        <w:t xml:space="preserve"> will be tried at a particular juncture by ruling on motions or objections properly before it.</w:t>
      </w:r>
      <w:r>
        <w:rPr>
          <w:color w:val="000000" w:themeColor="text1"/>
          <w:u w:color="000000" w:themeColor="text1"/>
        </w:rPr>
        <w:t xml:space="preserve">  Now, therefore,</w:t>
      </w: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3D4E53">
        <w:rPr>
          <w:color w:val="000000" w:themeColor="text1"/>
          <w:u w:color="000000" w:themeColor="text1"/>
        </w:rPr>
        <w:t>Section 1</w:t>
      </w:r>
      <w:r>
        <w:rPr>
          <w:color w:val="000000" w:themeColor="text1"/>
          <w:u w:color="000000" w:themeColor="text1"/>
        </w:rPr>
        <w:noBreakHyphen/>
      </w:r>
      <w:r w:rsidRPr="003D4E53">
        <w:rPr>
          <w:color w:val="000000" w:themeColor="text1"/>
          <w:u w:color="000000" w:themeColor="text1"/>
        </w:rPr>
        <w:t>7</w:t>
      </w:r>
      <w:r>
        <w:rPr>
          <w:color w:val="000000" w:themeColor="text1"/>
          <w:u w:color="000000" w:themeColor="text1"/>
        </w:rPr>
        <w:noBreakHyphen/>
      </w:r>
      <w:r w:rsidRPr="003D4E53">
        <w:rPr>
          <w:color w:val="000000" w:themeColor="text1"/>
          <w:u w:color="000000" w:themeColor="text1"/>
        </w:rPr>
        <w:t>330 of the 1976 Code is amended to read:</w:t>
      </w: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04E7"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330.</w:t>
      </w:r>
      <w:r>
        <w:rPr>
          <w:color w:val="000000" w:themeColor="text1"/>
          <w:u w:color="000000" w:themeColor="text1"/>
        </w:rPr>
        <w:tab/>
      </w:r>
      <w:r w:rsidRPr="0099412F">
        <w:rPr>
          <w:strike/>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7C04E7" w:rsidRPr="009F7EC8"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(A)</w:t>
      </w:r>
      <w:r>
        <w:rPr>
          <w:color w:val="000000" w:themeColor="text1"/>
          <w:u w:color="000000" w:themeColor="text1"/>
        </w:rPr>
        <w:tab/>
      </w:r>
      <w:r w:rsidRPr="009F7EC8">
        <w:rPr>
          <w:color w:val="000000" w:themeColor="text1"/>
          <w:u w:val="single"/>
        </w:rPr>
        <w:t xml:space="preserve">Criminal cases in circuit court must be calendared by the </w:t>
      </w:r>
      <w:r>
        <w:rPr>
          <w:color w:val="000000" w:themeColor="text1"/>
          <w:u w:val="single"/>
        </w:rPr>
        <w:t>circuit solicitor</w:t>
      </w:r>
      <w:r w:rsidRPr="009F7EC8">
        <w:rPr>
          <w:color w:val="000000" w:themeColor="text1"/>
          <w:u w:val="single"/>
        </w:rPr>
        <w:t xml:space="preserve"> according to a written criminal case</w:t>
      </w:r>
      <w:r>
        <w:rPr>
          <w:color w:val="000000" w:themeColor="text1"/>
          <w:u w:val="single"/>
        </w:rPr>
        <w:noBreakHyphen/>
      </w:r>
      <w:r w:rsidRPr="009F7EC8">
        <w:rPr>
          <w:color w:val="000000" w:themeColor="text1"/>
          <w:u w:val="single"/>
        </w:rPr>
        <w:t xml:space="preserve">docketing plan developed by the </w:t>
      </w:r>
      <w:r>
        <w:rPr>
          <w:color w:val="000000" w:themeColor="text1"/>
          <w:u w:val="single"/>
        </w:rPr>
        <w:t>circuit solicitor</w:t>
      </w:r>
      <w:r w:rsidRPr="009F7EC8">
        <w:rPr>
          <w:color w:val="000000" w:themeColor="text1"/>
          <w:u w:val="single"/>
        </w:rPr>
        <w:t xml:space="preserve"> for each circuit.  Each criminal docketing plan must be published on the </w:t>
      </w:r>
      <w:r>
        <w:rPr>
          <w:color w:val="000000" w:themeColor="text1"/>
          <w:u w:val="single"/>
        </w:rPr>
        <w:t>circuit solicitor</w:t>
      </w:r>
      <w:r w:rsidRPr="000D5853">
        <w:rPr>
          <w:color w:val="000000" w:themeColor="text1"/>
          <w:u w:val="single"/>
        </w:rPr>
        <w:t>’</w:t>
      </w:r>
      <w:r w:rsidRPr="009F7EC8">
        <w:rPr>
          <w:color w:val="000000" w:themeColor="text1"/>
          <w:u w:val="single"/>
        </w:rPr>
        <w:t xml:space="preserve">s website, if available, or at each courthouse in the </w:t>
      </w:r>
      <w:r>
        <w:rPr>
          <w:color w:val="000000" w:themeColor="text1"/>
          <w:u w:val="single"/>
        </w:rPr>
        <w:t>circuit solicitor</w:t>
      </w:r>
      <w:r w:rsidRPr="000D5853">
        <w:rPr>
          <w:color w:val="000000" w:themeColor="text1"/>
          <w:u w:val="single"/>
        </w:rPr>
        <w:t>’</w:t>
      </w:r>
      <w:r w:rsidRPr="009F7EC8">
        <w:rPr>
          <w:color w:val="000000" w:themeColor="text1"/>
          <w:u w:val="single"/>
        </w:rPr>
        <w:t xml:space="preserve">s circuit if a website is unavailable. The </w:t>
      </w:r>
      <w:r>
        <w:rPr>
          <w:color w:val="000000" w:themeColor="text1"/>
          <w:u w:val="single"/>
        </w:rPr>
        <w:t>circuit solicitor</w:t>
      </w:r>
      <w:r w:rsidRPr="009F7EC8">
        <w:rPr>
          <w:color w:val="000000" w:themeColor="text1"/>
          <w:u w:val="single"/>
        </w:rPr>
        <w:t>, in his sole discretion, may develop an individual docketing plan for each county within the circuit.</w:t>
      </w:r>
    </w:p>
    <w:p w:rsidR="007C04E7" w:rsidRPr="009F7EC8"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(B)(1)</w:t>
      </w:r>
      <w:r>
        <w:rPr>
          <w:color w:val="000000" w:themeColor="text1"/>
          <w:u w:color="000000" w:themeColor="text1"/>
        </w:rPr>
        <w:tab/>
      </w:r>
      <w:r w:rsidRPr="0099412F">
        <w:rPr>
          <w:color w:val="000000" w:themeColor="text1"/>
          <w:u w:val="single" w:color="000000" w:themeColor="text1"/>
        </w:rPr>
        <w:t>T</w:t>
      </w:r>
      <w:r w:rsidRPr="009F7EC8">
        <w:rPr>
          <w:color w:val="000000" w:themeColor="text1"/>
          <w:u w:val="single"/>
        </w:rPr>
        <w:t xml:space="preserve">he </w:t>
      </w:r>
      <w:r>
        <w:rPr>
          <w:color w:val="000000" w:themeColor="text1"/>
          <w:u w:val="single"/>
        </w:rPr>
        <w:t>circuit solicitor</w:t>
      </w:r>
      <w:r w:rsidRPr="009F7EC8">
        <w:rPr>
          <w:color w:val="000000" w:themeColor="text1"/>
          <w:u w:val="single"/>
        </w:rPr>
        <w:t xml:space="preserve"> has sole discretion of whether to make a defendant a plea offer.  If the </w:t>
      </w:r>
      <w:r>
        <w:rPr>
          <w:color w:val="000000" w:themeColor="text1"/>
          <w:u w:val="single"/>
        </w:rPr>
        <w:t>circuit solicitor</w:t>
      </w:r>
      <w:r w:rsidRPr="009F7EC8">
        <w:rPr>
          <w:color w:val="000000" w:themeColor="text1"/>
          <w:u w:val="single"/>
        </w:rPr>
        <w:t xml:space="preserve"> makes a plea offer then he shall inform, in writing, defense counsel or the pro se </w:t>
      </w:r>
      <w:r w:rsidRPr="000D5853">
        <w:rPr>
          <w:color w:val="000000" w:themeColor="text1"/>
          <w:u w:val="single"/>
        </w:rPr>
        <w:t>defendant of the terms of the plea offer and the date by which the</w:t>
      </w:r>
      <w:r w:rsidRPr="009F7EC8">
        <w:rPr>
          <w:color w:val="000000" w:themeColor="text1"/>
          <w:u w:val="single"/>
        </w:rPr>
        <w:t xml:space="preserve"> offer must be accepted. On or before the plea offer deadline, defense counsel or the pro se defendant shall respond, in writing, to the </w:t>
      </w:r>
      <w:r>
        <w:rPr>
          <w:color w:val="000000" w:themeColor="text1"/>
          <w:u w:val="single"/>
        </w:rPr>
        <w:t>circuit solicitor</w:t>
      </w:r>
      <w:r w:rsidRPr="009F7EC8">
        <w:rPr>
          <w:color w:val="000000" w:themeColor="text1"/>
          <w:u w:val="single"/>
        </w:rPr>
        <w:t xml:space="preserve"> confirming that the defense attorney has consulted the defendant, if represented by counsel, and whether the defendant wishes to accept or reject the offer. Failure by defense counsel or the pro se defendant to respond by the plea offer deadline constitutes a rejection of the plea offer. The court may conduct a plea conference if requested by either the </w:t>
      </w:r>
      <w:r>
        <w:rPr>
          <w:color w:val="000000" w:themeColor="text1"/>
          <w:u w:val="single"/>
        </w:rPr>
        <w:t>S</w:t>
      </w:r>
      <w:r w:rsidRPr="009F7EC8">
        <w:rPr>
          <w:color w:val="000000" w:themeColor="text1"/>
          <w:u w:val="single"/>
        </w:rPr>
        <w:t>tate or the defense and supported by the interests</w:t>
      </w:r>
      <w:r>
        <w:rPr>
          <w:color w:val="000000" w:themeColor="text1"/>
          <w:u w:val="single"/>
        </w:rPr>
        <w:t xml:space="preserve"> of justice.</w:t>
      </w:r>
    </w:p>
    <w:p w:rsidR="007C04E7" w:rsidRPr="009F7EC8"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9F7EC8">
        <w:rPr>
          <w:color w:val="000000" w:themeColor="text1"/>
          <w:u w:val="single"/>
        </w:rPr>
        <w:t>(2)</w:t>
      </w:r>
      <w:r>
        <w:rPr>
          <w:color w:val="000000" w:themeColor="text1"/>
          <w:u w:color="000000" w:themeColor="text1"/>
        </w:rPr>
        <w:tab/>
      </w:r>
      <w:r w:rsidRPr="009F7EC8">
        <w:rPr>
          <w:color w:val="000000" w:themeColor="text1"/>
          <w:u w:val="single"/>
        </w:rPr>
        <w:t xml:space="preserve">Not less than fifteen calendar days prior to the term of court, the </w:t>
      </w:r>
      <w:r>
        <w:rPr>
          <w:color w:val="000000" w:themeColor="text1"/>
          <w:u w:val="single"/>
        </w:rPr>
        <w:t>circuit solicitor</w:t>
      </w:r>
      <w:r w:rsidRPr="009F7EC8">
        <w:rPr>
          <w:color w:val="000000" w:themeColor="text1"/>
          <w:u w:val="single"/>
        </w:rPr>
        <w:t xml:space="preserve"> shall publish a docket of those defendants who are required to appear with counsel to either enter pleas of guilt, reject a plea offer on the record, or deal with other preliminary matters such as bond motions, </w:t>
      </w:r>
      <w:r w:rsidRPr="0099412F">
        <w:rPr>
          <w:color w:val="000000" w:themeColor="text1"/>
          <w:u w:val="single"/>
        </w:rPr>
        <w:t>Schmerber</w:t>
      </w:r>
      <w:r w:rsidRPr="009F7EC8">
        <w:rPr>
          <w:i/>
          <w:color w:val="000000" w:themeColor="text1"/>
          <w:u w:val="single"/>
        </w:rPr>
        <w:t xml:space="preserve"> </w:t>
      </w:r>
      <w:r w:rsidRPr="009F7EC8">
        <w:rPr>
          <w:color w:val="000000" w:themeColor="text1"/>
          <w:u w:val="single"/>
        </w:rPr>
        <w:t xml:space="preserve">hearings or other similar administrative matters. The </w:t>
      </w:r>
      <w:r>
        <w:rPr>
          <w:color w:val="000000" w:themeColor="text1"/>
          <w:u w:val="single"/>
        </w:rPr>
        <w:t>circuit solicitor</w:t>
      </w:r>
      <w:r w:rsidRPr="009F7EC8">
        <w:rPr>
          <w:color w:val="000000" w:themeColor="text1"/>
          <w:u w:val="single"/>
        </w:rPr>
        <w:t xml:space="preserve"> is responsible for scheduling of pleas and motions throughout a term of court subject to the authority of the court to continue for cause any plea or motion.  In no case may any evidentiary motions such as motions to suppress be heard by any judge other than the judge who is assigned to preside over the trial of that case.</w:t>
      </w:r>
    </w:p>
    <w:p w:rsidR="007C04E7" w:rsidRPr="009F7EC8"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(C)</w:t>
      </w:r>
      <w:r>
        <w:rPr>
          <w:color w:val="000000" w:themeColor="text1"/>
          <w:u w:color="000000" w:themeColor="text1"/>
        </w:rPr>
        <w:tab/>
      </w:r>
      <w:r w:rsidRPr="009F7EC8">
        <w:rPr>
          <w:color w:val="000000" w:themeColor="text1"/>
          <w:u w:val="single"/>
        </w:rPr>
        <w:t xml:space="preserve">Not less than fifteen days before the term of court that cases are calendared for trial, the </w:t>
      </w:r>
      <w:r>
        <w:rPr>
          <w:color w:val="000000" w:themeColor="text1"/>
          <w:u w:val="single"/>
        </w:rPr>
        <w:t>circuit solicitor</w:t>
      </w:r>
      <w:r w:rsidRPr="009F7EC8">
        <w:rPr>
          <w:color w:val="000000" w:themeColor="text1"/>
          <w:u w:val="single"/>
        </w:rPr>
        <w:t xml:space="preserve"> shall submit a trial docket to the chief administrative judge and provide notice to defense counsel and pro se defendants who have cases on the trial docket. The </w:t>
      </w:r>
      <w:r>
        <w:rPr>
          <w:color w:val="000000" w:themeColor="text1"/>
          <w:u w:val="single"/>
        </w:rPr>
        <w:t>circuit solicitor</w:t>
      </w:r>
      <w:r w:rsidRPr="009F7EC8">
        <w:rPr>
          <w:color w:val="000000" w:themeColor="text1"/>
          <w:u w:val="single"/>
        </w:rPr>
        <w:t xml:space="preserve"> may give notice of the trial docket to defense attorneys and pro se defendants by regular mail, electronic mail</w:t>
      </w:r>
      <w:r>
        <w:rPr>
          <w:color w:val="000000" w:themeColor="text1"/>
          <w:u w:val="single"/>
        </w:rPr>
        <w:t>,</w:t>
      </w:r>
      <w:r w:rsidRPr="009F7EC8">
        <w:rPr>
          <w:color w:val="000000" w:themeColor="text1"/>
          <w:u w:val="single"/>
        </w:rPr>
        <w:t xml:space="preserve"> or hand delivery to the last known address. The trial docket should not contain cases that the </w:t>
      </w:r>
      <w:r>
        <w:rPr>
          <w:color w:val="000000" w:themeColor="text1"/>
          <w:u w:val="single"/>
        </w:rPr>
        <w:t>circuit solicitor</w:t>
      </w:r>
      <w:r w:rsidRPr="009F7EC8">
        <w:rPr>
          <w:color w:val="000000" w:themeColor="text1"/>
          <w:u w:val="single"/>
        </w:rPr>
        <w:t xml:space="preserve"> does not reasonably expect to be called for trial or otherwise disposed of during the term of court. In counties in which multiple sessions of court are held, the </w:t>
      </w:r>
      <w:r>
        <w:rPr>
          <w:color w:val="000000" w:themeColor="text1"/>
          <w:u w:val="single"/>
        </w:rPr>
        <w:t>circuit solicitor</w:t>
      </w:r>
      <w:r w:rsidRPr="009F7EC8">
        <w:rPr>
          <w:color w:val="000000" w:themeColor="text1"/>
          <w:u w:val="single"/>
        </w:rPr>
        <w:t xml:space="preserve">, at his or her discretion, may publish a trial docket for each session of court.  Defense counsel or pro se defendants must file any motions for continuance with the court within five business days of notice of the trial docket. </w:t>
      </w:r>
    </w:p>
    <w:p w:rsidR="007C04E7" w:rsidRPr="009F7EC8"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(D)</w:t>
      </w:r>
      <w:r>
        <w:rPr>
          <w:color w:val="000000" w:themeColor="text1"/>
          <w:u w:color="000000" w:themeColor="text1"/>
        </w:rPr>
        <w:tab/>
      </w:r>
      <w:r w:rsidRPr="009F7EC8">
        <w:rPr>
          <w:color w:val="000000" w:themeColor="text1"/>
          <w:u w:val="single"/>
        </w:rPr>
        <w:t>When a case has not otherwise been scheduled for trial within one hundred eighty calendar days of indictment</w:t>
      </w:r>
      <w:r>
        <w:rPr>
          <w:color w:val="000000" w:themeColor="text1"/>
          <w:u w:val="single"/>
        </w:rPr>
        <w:t>,</w:t>
      </w:r>
      <w:r w:rsidRPr="009F7EC8">
        <w:rPr>
          <w:color w:val="000000" w:themeColor="text1"/>
          <w:u w:val="single"/>
        </w:rPr>
        <w:t xml:space="preserve"> then upon motion for speedy trial</w:t>
      </w:r>
      <w:r w:rsidRPr="009F7EC8">
        <w:rPr>
          <w:i/>
          <w:color w:val="000000" w:themeColor="text1"/>
          <w:u w:val="single"/>
        </w:rPr>
        <w:t xml:space="preserve"> </w:t>
      </w:r>
      <w:r w:rsidRPr="009F7EC8">
        <w:rPr>
          <w:color w:val="000000" w:themeColor="text1"/>
          <w:u w:val="single"/>
        </w:rPr>
        <w:t>by the defendant at any time afterwards, the chief administrative judge, or a circuit judge designated by the chief administrative judge, may hold a hearing for the purpose of determining whether a trial date should be set.  In determining whether to grant the defendant</w:t>
      </w:r>
      <w:r w:rsidRPr="000D5853">
        <w:rPr>
          <w:color w:val="000000" w:themeColor="text1"/>
          <w:u w:val="single"/>
        </w:rPr>
        <w:t>’</w:t>
      </w:r>
      <w:r w:rsidRPr="009F7EC8">
        <w:rPr>
          <w:color w:val="000000" w:themeColor="text1"/>
          <w:u w:val="single"/>
        </w:rPr>
        <w:t>s motion and set a trial date, the court shall consider the length of the delay.  If the court finds that the length of the delay is prejudicial, the court must consider the reason for the delay, the defendant</w:t>
      </w:r>
      <w:r w:rsidRPr="000D5853">
        <w:rPr>
          <w:color w:val="000000" w:themeColor="text1"/>
          <w:u w:val="single"/>
        </w:rPr>
        <w:t>’</w:t>
      </w:r>
      <w:r w:rsidRPr="009F7EC8">
        <w:rPr>
          <w:color w:val="000000" w:themeColor="text1"/>
          <w:u w:val="single"/>
        </w:rPr>
        <w:t>s assertion of the right, and the prejudice to the defendant along with any other relevant factors.  The court may grant a motion for speedy trial only upon the specific finding that the pretrial delay is arbitrary and unreasonable.</w:t>
      </w:r>
    </w:p>
    <w:p w:rsidR="007C04E7" w:rsidRPr="0079360A" w:rsidRDefault="007C04E7"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9F7EC8">
        <w:rPr>
          <w:color w:val="000000" w:themeColor="text1"/>
          <w:u w:val="single"/>
        </w:rPr>
        <w:t>(E)</w:t>
      </w:r>
      <w:r>
        <w:rPr>
          <w:color w:val="000000" w:themeColor="text1"/>
          <w:u w:color="000000" w:themeColor="text1"/>
        </w:rPr>
        <w:tab/>
      </w:r>
      <w:r w:rsidRPr="009F7EC8">
        <w:rPr>
          <w:color w:val="000000" w:themeColor="text1"/>
          <w:u w:val="single"/>
        </w:rPr>
        <w:t>Nothing in this section may be construed to deprive any victim of any constitutional or statutory rights as provided by law.</w:t>
      </w:r>
      <w:r>
        <w:rPr>
          <w:color w:val="000000" w:themeColor="text1"/>
        </w:rPr>
        <w:t>”</w:t>
      </w: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E7" w:rsidRDefault="007C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C04E7" w:rsidRPr="00591D3D" w:rsidRDefault="007C04E7"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t>XX</w:t>
      </w:r>
      <w:r>
        <w:noBreakHyphen/>
      </w:r>
      <w:r>
        <w:noBreakHyphen/>
      </w:r>
      <w:r>
        <w:noBreakHyphen/>
      </w:r>
      <w:r>
        <w:noBreakHyphen/>
      </w:r>
    </w:p>
    <w:p w:rsidR="00D54392" w:rsidRPr="00591D3D" w:rsidRDefault="00D54392" w:rsidP="007C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 w:val="24"/>
        </w:rPr>
      </w:pPr>
    </w:p>
    <w:sectPr w:rsidR="00D54392" w:rsidRPr="00591D3D" w:rsidSect="00BD45D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60A" w:rsidRDefault="0079360A" w:rsidP="009F0C77">
      <w:r>
        <w:separator/>
      </w:r>
    </w:p>
  </w:endnote>
  <w:endnote w:type="continuationSeparator" w:id="0">
    <w:p w:rsidR="0079360A" w:rsidRDefault="0079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CD9865-880E-4409-861F-90CD7E9334DD}"/>
    <w:embedBold r:id="rId2" w:fontKey="{51C60473-A138-4C10-824F-59C93183C466}"/>
    <w:embedItalic r:id="rId3" w:fontKey="{B137F0E9-E530-4518-AE08-74FD5779662B}"/>
  </w:font>
  <w:font w:name="Calibri">
    <w:panose1 w:val="020F0502020204030204"/>
    <w:charset w:val="00"/>
    <w:family w:val="swiss"/>
    <w:pitch w:val="variable"/>
    <w:sig w:usb0="E00002FF" w:usb1="4000ACFF" w:usb2="00000001" w:usb3="00000000" w:csb0="0000019F" w:csb1="00000000"/>
    <w:embedRegular r:id="rId4" w:fontKey="{0413BB0E-C15E-432F-82FD-0D2B95AE6F6C}"/>
  </w:font>
  <w:font w:name="Segoe UI">
    <w:panose1 w:val="020B0502040204020203"/>
    <w:charset w:val="00"/>
    <w:family w:val="swiss"/>
    <w:pitch w:val="variable"/>
    <w:sig w:usb0="E10022FF" w:usb1="C000E47F" w:usb2="00000029" w:usb3="00000000" w:csb0="000001DF" w:csb1="00000000"/>
    <w:embedRegular r:id="rId5" w:fontKey="{1FF71BFA-5987-45AE-AE50-643239BE491B}"/>
  </w:font>
  <w:font w:name="Cambria">
    <w:panose1 w:val="02040503050406030204"/>
    <w:charset w:val="00"/>
    <w:family w:val="roman"/>
    <w:pitch w:val="variable"/>
    <w:sig w:usb0="E00002FF" w:usb1="400004FF" w:usb2="00000000" w:usb3="00000000" w:csb0="0000019F" w:csb1="00000000"/>
    <w:embedRegular r:id="rId6" w:fontKey="{9EC390B4-98AA-4A3B-B57A-D55E8D7D65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4E7" w:rsidRPr="00AF66C5" w:rsidRDefault="007C04E7" w:rsidP="00AF66C5">
    <w:pPr>
      <w:pStyle w:val="Footer"/>
      <w:tabs>
        <w:tab w:val="clear" w:pos="4680"/>
        <w:tab w:val="clear" w:pos="9360"/>
        <w:tab w:val="center" w:pos="2995"/>
      </w:tabs>
      <w:spacing w:before="120"/>
    </w:pPr>
    <w:r>
      <w:t>[1126-</w:t>
    </w:r>
    <w:r>
      <w:fldChar w:fldCharType="begin"/>
    </w:r>
    <w:r>
      <w:instrText xml:space="preserve"> PAGE  \* MERGEFORMAT </w:instrText>
    </w:r>
    <w:r>
      <w:fldChar w:fldCharType="separate"/>
    </w:r>
    <w:r w:rsidR="003509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DF" w:rsidRPr="00AF66C5" w:rsidRDefault="007C04E7" w:rsidP="00AF66C5">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60A" w:rsidRDefault="0079360A" w:rsidP="009F0C77">
      <w:r>
        <w:separator/>
      </w:r>
    </w:p>
  </w:footnote>
  <w:footnote w:type="continuationSeparator" w:id="0">
    <w:p w:rsidR="0079360A" w:rsidRDefault="0079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9AHB16"/>
    <w:docVar w:name="CoverBillType" w:val="b"/>
    <w:docVar w:name="docpath" w:val="L:\Council\bills\MS\7219AHB16.DOCX"/>
    <w:docVar w:name="dvBillNumber" w:val="1126"/>
    <w:docVar w:name="dvBillNumberPrefix" w:val="S. "/>
    <w:docVar w:name="dvOriginalBody" w:val="Senate"/>
    <w:docVar w:name="dvSteno" w:val="MS"/>
    <w:docVar w:name="NameofBody" w:val="s"/>
    <w:docVar w:name="vgroup2" w:val="Council"/>
  </w:docVars>
  <w:rsids>
    <w:rsidRoot w:val="0015629D"/>
    <w:rsid w:val="00026C9A"/>
    <w:rsid w:val="000965A1"/>
    <w:rsid w:val="000D5853"/>
    <w:rsid w:val="000E1785"/>
    <w:rsid w:val="000F39F2"/>
    <w:rsid w:val="001023A4"/>
    <w:rsid w:val="0010776B"/>
    <w:rsid w:val="00133E66"/>
    <w:rsid w:val="00134ACF"/>
    <w:rsid w:val="00144E15"/>
    <w:rsid w:val="0015629D"/>
    <w:rsid w:val="001A4A62"/>
    <w:rsid w:val="001A681E"/>
    <w:rsid w:val="001D08F2"/>
    <w:rsid w:val="001D7B3E"/>
    <w:rsid w:val="001F15E9"/>
    <w:rsid w:val="002037CA"/>
    <w:rsid w:val="002047A2"/>
    <w:rsid w:val="002321B6"/>
    <w:rsid w:val="0023696B"/>
    <w:rsid w:val="00250967"/>
    <w:rsid w:val="002759C5"/>
    <w:rsid w:val="00277DEE"/>
    <w:rsid w:val="00280D88"/>
    <w:rsid w:val="00294ABE"/>
    <w:rsid w:val="002A3EB4"/>
    <w:rsid w:val="00325348"/>
    <w:rsid w:val="003509C5"/>
    <w:rsid w:val="00393688"/>
    <w:rsid w:val="003D411E"/>
    <w:rsid w:val="003E3C1E"/>
    <w:rsid w:val="003E6148"/>
    <w:rsid w:val="00400EAA"/>
    <w:rsid w:val="0041760A"/>
    <w:rsid w:val="004203D7"/>
    <w:rsid w:val="004809EE"/>
    <w:rsid w:val="004F0BDA"/>
    <w:rsid w:val="005067B9"/>
    <w:rsid w:val="00511EE9"/>
    <w:rsid w:val="005141CF"/>
    <w:rsid w:val="00521E00"/>
    <w:rsid w:val="00577C6C"/>
    <w:rsid w:val="0058501B"/>
    <w:rsid w:val="00591D3D"/>
    <w:rsid w:val="0061228A"/>
    <w:rsid w:val="006215AA"/>
    <w:rsid w:val="006340D9"/>
    <w:rsid w:val="00643B8E"/>
    <w:rsid w:val="00665EBC"/>
    <w:rsid w:val="0069470D"/>
    <w:rsid w:val="006A476C"/>
    <w:rsid w:val="006C6A93"/>
    <w:rsid w:val="006E02F9"/>
    <w:rsid w:val="00753C04"/>
    <w:rsid w:val="00756946"/>
    <w:rsid w:val="00757F80"/>
    <w:rsid w:val="00771EEC"/>
    <w:rsid w:val="00777D51"/>
    <w:rsid w:val="00786819"/>
    <w:rsid w:val="0079360A"/>
    <w:rsid w:val="007A325A"/>
    <w:rsid w:val="007C04E7"/>
    <w:rsid w:val="007C3099"/>
    <w:rsid w:val="007E72BE"/>
    <w:rsid w:val="007F1523"/>
    <w:rsid w:val="007F509E"/>
    <w:rsid w:val="007F5799"/>
    <w:rsid w:val="007F6947"/>
    <w:rsid w:val="008325DD"/>
    <w:rsid w:val="00834A12"/>
    <w:rsid w:val="00872729"/>
    <w:rsid w:val="008E16B3"/>
    <w:rsid w:val="008F4429"/>
    <w:rsid w:val="00932670"/>
    <w:rsid w:val="009352BB"/>
    <w:rsid w:val="00990668"/>
    <w:rsid w:val="0099412F"/>
    <w:rsid w:val="009B397B"/>
    <w:rsid w:val="009C798D"/>
    <w:rsid w:val="009F0C77"/>
    <w:rsid w:val="009F4DD1"/>
    <w:rsid w:val="00A64E80"/>
    <w:rsid w:val="00A741D9"/>
    <w:rsid w:val="00A9741D"/>
    <w:rsid w:val="00AD4B17"/>
    <w:rsid w:val="00AF5F6E"/>
    <w:rsid w:val="00AF66C5"/>
    <w:rsid w:val="00B26FA6"/>
    <w:rsid w:val="00B6724D"/>
    <w:rsid w:val="00B741CB"/>
    <w:rsid w:val="00B934F3"/>
    <w:rsid w:val="00B94D68"/>
    <w:rsid w:val="00BB6347"/>
    <w:rsid w:val="00BD2134"/>
    <w:rsid w:val="00C038D8"/>
    <w:rsid w:val="00C045DD"/>
    <w:rsid w:val="00C3136F"/>
    <w:rsid w:val="00C3483A"/>
    <w:rsid w:val="00C471AB"/>
    <w:rsid w:val="00C74E9D"/>
    <w:rsid w:val="00C82FD3"/>
    <w:rsid w:val="00CB6E98"/>
    <w:rsid w:val="00CC6B7B"/>
    <w:rsid w:val="00CD3619"/>
    <w:rsid w:val="00CF4447"/>
    <w:rsid w:val="00D405E7"/>
    <w:rsid w:val="00D41D56"/>
    <w:rsid w:val="00D52531"/>
    <w:rsid w:val="00D54392"/>
    <w:rsid w:val="00D6260D"/>
    <w:rsid w:val="00D6662B"/>
    <w:rsid w:val="00D95E2F"/>
    <w:rsid w:val="00D970A9"/>
    <w:rsid w:val="00DB3AC0"/>
    <w:rsid w:val="00DC6813"/>
    <w:rsid w:val="00DE68F0"/>
    <w:rsid w:val="00DF3845"/>
    <w:rsid w:val="00DF7E17"/>
    <w:rsid w:val="00E05C99"/>
    <w:rsid w:val="00E8560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10D34-69C9-41EE-A282-9417AA0E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5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85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D5853"/>
    <w:rPr>
      <w:sz w:val="16"/>
      <w:szCs w:val="16"/>
    </w:rPr>
  </w:style>
  <w:style w:type="paragraph" w:styleId="CommentText">
    <w:name w:val="annotation text"/>
    <w:basedOn w:val="Normal"/>
    <w:link w:val="CommentTextChar"/>
    <w:uiPriority w:val="99"/>
    <w:semiHidden/>
    <w:unhideWhenUsed/>
    <w:rsid w:val="000D5853"/>
    <w:rPr>
      <w:sz w:val="20"/>
    </w:rPr>
  </w:style>
  <w:style w:type="character" w:customStyle="1" w:styleId="CommentTextChar">
    <w:name w:val="Comment Text Char"/>
    <w:basedOn w:val="DefaultParagraphFont"/>
    <w:link w:val="CommentText"/>
    <w:uiPriority w:val="99"/>
    <w:semiHidden/>
    <w:rsid w:val="000D585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5853"/>
    <w:rPr>
      <w:b/>
      <w:bCs/>
    </w:rPr>
  </w:style>
  <w:style w:type="character" w:customStyle="1" w:styleId="CommentSubjectChar">
    <w:name w:val="Comment Subject Char"/>
    <w:basedOn w:val="CommentTextChar"/>
    <w:link w:val="CommentSubject"/>
    <w:uiPriority w:val="99"/>
    <w:semiHidden/>
    <w:rsid w:val="000D5853"/>
    <w:rPr>
      <w:rFonts w:eastAsia="Times New Roman" w:cs="Times New Roman"/>
      <w:b/>
      <w:bCs/>
      <w:sz w:val="20"/>
      <w:szCs w:val="20"/>
    </w:rPr>
  </w:style>
  <w:style w:type="character" w:styleId="Hyperlink">
    <w:name w:val="Hyperlink"/>
    <w:basedOn w:val="DefaultParagraphFont"/>
    <w:uiPriority w:val="99"/>
    <w:unhideWhenUsed/>
    <w:rsid w:val="00D543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5-16.docx" TargetMode="External"/><Relationship Id="rId13" Type="http://schemas.openxmlformats.org/officeDocument/2006/relationships/hyperlink" Target="file:///p:\pprever\2015-16\1126_20160414.docx" TargetMode="External"/><Relationship Id="rId3" Type="http://schemas.openxmlformats.org/officeDocument/2006/relationships/settings" Target="settings.xml"/><Relationship Id="rId7" Type="http://schemas.openxmlformats.org/officeDocument/2006/relationships/hyperlink" Target="file:///h:\SJ%20Archive\2016\02-25-16.docx" TargetMode="External"/><Relationship Id="rId12" Type="http://schemas.openxmlformats.org/officeDocument/2006/relationships/hyperlink" Target="file:///p:\pprever\2015-16\1126_201604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26_20160225.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126&amp;session=121&amp;summary=B" TargetMode="External"/><Relationship Id="rId4" Type="http://schemas.openxmlformats.org/officeDocument/2006/relationships/webSettings" Target="webSettings.xml"/><Relationship Id="rId9" Type="http://schemas.openxmlformats.org/officeDocument/2006/relationships/hyperlink" Target="file:///h:\SJ%20Archive\2016\04-1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8FB87-56D3-40D2-9D05-EFEBC559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1768</Words>
  <Characters>10081</Characters>
  <Application>Microsoft Office Word</Application>
  <DocSecurity>6</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1126: Circuit Court attendance; docket - South Carolina Legislature Online</dc:title>
  <dc:subject/>
  <dc:creator>MarthaSanders</dc:creator>
  <cp:keywords/>
  <dc:description/>
  <cp:lastModifiedBy>N Cumfer</cp:lastModifiedBy>
  <cp:revision>2</cp:revision>
  <cp:lastPrinted>2016-02-25T20:50:00Z</cp:lastPrinted>
  <dcterms:created xsi:type="dcterms:W3CDTF">2016-12-02T17:29:00Z</dcterms:created>
  <dcterms:modified xsi:type="dcterms:W3CDTF">2016-12-02T17:29:00Z</dcterms:modified>
</cp:coreProperties>
</file>