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829" w:rsidRDefault="00B34829" w:rsidP="00B34829">
      <w:pPr>
        <w:widowControl w:val="0"/>
        <w:jc w:val="center"/>
      </w:pPr>
      <w:bookmarkStart w:id="0" w:name="_GoBack"/>
      <w:bookmarkEnd w:id="0"/>
      <w:r w:rsidRPr="00B34829">
        <w:rPr>
          <w:b/>
        </w:rPr>
        <w:t>South Carolina General Assembly</w:t>
      </w:r>
    </w:p>
    <w:p w:rsidR="00B34829" w:rsidRDefault="00B34829" w:rsidP="00B34829">
      <w:pPr>
        <w:widowControl w:val="0"/>
        <w:jc w:val="center"/>
      </w:pPr>
      <w:r>
        <w:t>121st Session, 2015-2016</w:t>
      </w:r>
    </w:p>
    <w:p w:rsidR="00B34829" w:rsidRDefault="00B34829" w:rsidP="00B34829">
      <w:pPr>
        <w:widowControl w:val="0"/>
        <w:jc w:val="left"/>
      </w:pPr>
    </w:p>
    <w:p w:rsidR="00B34829" w:rsidRDefault="00B34829" w:rsidP="00B34829">
      <w:pPr>
        <w:widowControl w:val="0"/>
        <w:jc w:val="left"/>
        <w:rPr>
          <w:b/>
        </w:rPr>
      </w:pPr>
      <w:r w:rsidRPr="00B34829">
        <w:rPr>
          <w:b/>
        </w:rPr>
        <w:t>S.</w:t>
      </w:r>
      <w:r>
        <w:rPr>
          <w:b/>
        </w:rPr>
        <w:t xml:space="preserve"> </w:t>
      </w:r>
      <w:r w:rsidRPr="00B34829">
        <w:rPr>
          <w:b/>
        </w:rPr>
        <w:t>19</w:t>
      </w:r>
    </w:p>
    <w:p w:rsidR="00B34829" w:rsidRDefault="00B34829" w:rsidP="00B34829">
      <w:pPr>
        <w:widowControl w:val="0"/>
        <w:jc w:val="left"/>
        <w:rPr>
          <w:b/>
        </w:rPr>
      </w:pPr>
    </w:p>
    <w:p w:rsidR="00B34829" w:rsidRDefault="00B34829" w:rsidP="00B34829">
      <w:pPr>
        <w:widowControl w:val="0"/>
        <w:jc w:val="left"/>
      </w:pPr>
      <w:r w:rsidRPr="00B34829">
        <w:rPr>
          <w:b/>
        </w:rPr>
        <w:t>STATUS INFORMATION</w:t>
      </w:r>
    </w:p>
    <w:p w:rsidR="00B34829" w:rsidRDefault="00B34829" w:rsidP="00B34829">
      <w:pPr>
        <w:widowControl w:val="0"/>
        <w:jc w:val="left"/>
      </w:pPr>
    </w:p>
    <w:p w:rsidR="00B34829" w:rsidRDefault="00B34829" w:rsidP="00B34829">
      <w:pPr>
        <w:widowControl w:val="0"/>
        <w:jc w:val="left"/>
      </w:pPr>
      <w:r>
        <w:t>General Bill</w:t>
      </w:r>
    </w:p>
    <w:p w:rsidR="00B34829" w:rsidRDefault="00B34829" w:rsidP="00B34829">
      <w:pPr>
        <w:widowControl w:val="0"/>
        <w:jc w:val="left"/>
      </w:pPr>
      <w:r>
        <w:t>Sponsors: Senator Jackson</w:t>
      </w:r>
    </w:p>
    <w:p w:rsidR="00B34829" w:rsidRDefault="00B34829" w:rsidP="00B34829">
      <w:pPr>
        <w:widowControl w:val="0"/>
        <w:jc w:val="left"/>
      </w:pPr>
      <w:r>
        <w:t>Document Path: l:\council\bills\ms\7024ahb15.docx</w:t>
      </w:r>
    </w:p>
    <w:p w:rsidR="009F7D7C" w:rsidRDefault="009F7D7C" w:rsidP="00B34829">
      <w:pPr>
        <w:widowControl w:val="0"/>
        <w:jc w:val="left"/>
      </w:pPr>
      <w:r>
        <w:t>Companion/Similar bill(s): 3224</w:t>
      </w:r>
    </w:p>
    <w:p w:rsidR="00B34829" w:rsidRDefault="00B34829" w:rsidP="00B34829">
      <w:pPr>
        <w:widowControl w:val="0"/>
        <w:jc w:val="left"/>
      </w:pPr>
    </w:p>
    <w:p w:rsidR="00024340" w:rsidRDefault="00024340" w:rsidP="00B34829">
      <w:pPr>
        <w:widowControl w:val="0"/>
        <w:jc w:val="left"/>
      </w:pPr>
      <w:r>
        <w:t>Introduced in the Senate on January 13, 2015</w:t>
      </w:r>
    </w:p>
    <w:p w:rsidR="00024340" w:rsidRPr="00024340" w:rsidRDefault="00024340" w:rsidP="00B34829">
      <w:pPr>
        <w:widowControl w:val="0"/>
        <w:jc w:val="left"/>
      </w:pPr>
      <w:r>
        <w:t xml:space="preserve">Currently residing in the Senate Committee on </w:t>
      </w:r>
      <w:r w:rsidRPr="00024340">
        <w:rPr>
          <w:b/>
        </w:rPr>
        <w:t>Judiciary</w:t>
      </w:r>
    </w:p>
    <w:p w:rsidR="00024340" w:rsidRDefault="00024340" w:rsidP="00B34829">
      <w:pPr>
        <w:widowControl w:val="0"/>
        <w:jc w:val="left"/>
      </w:pPr>
    </w:p>
    <w:p w:rsidR="00B34829" w:rsidRDefault="00B34829" w:rsidP="00B34829">
      <w:pPr>
        <w:widowControl w:val="0"/>
        <w:jc w:val="left"/>
      </w:pPr>
      <w:r>
        <w:t xml:space="preserve">Summary: </w:t>
      </w:r>
      <w:r w:rsidR="00643290">
        <w:t>Dating Violence</w:t>
      </w:r>
    </w:p>
    <w:p w:rsidR="00B34829" w:rsidRDefault="00B34829" w:rsidP="00B34829">
      <w:pPr>
        <w:widowControl w:val="0"/>
        <w:jc w:val="left"/>
      </w:pPr>
    </w:p>
    <w:p w:rsidR="00B34829" w:rsidRDefault="00B34829" w:rsidP="00B34829">
      <w:pPr>
        <w:widowControl w:val="0"/>
        <w:jc w:val="left"/>
      </w:pPr>
    </w:p>
    <w:p w:rsidR="00B34829" w:rsidRDefault="00B34829" w:rsidP="00B34829">
      <w:pPr>
        <w:widowControl w:val="0"/>
        <w:tabs>
          <w:tab w:val="center" w:pos="590"/>
          <w:tab w:val="center" w:pos="1440"/>
          <w:tab w:val="left" w:pos="1872"/>
          <w:tab w:val="left" w:pos="9187"/>
        </w:tabs>
        <w:jc w:val="left"/>
      </w:pPr>
      <w:r w:rsidRPr="00B34829">
        <w:rPr>
          <w:b/>
        </w:rPr>
        <w:t>HISTORY OF LEGISLATIVE ACTIONS</w:t>
      </w:r>
    </w:p>
    <w:p w:rsidR="00B34829" w:rsidRDefault="00B34829" w:rsidP="00B34829">
      <w:pPr>
        <w:widowControl w:val="0"/>
        <w:tabs>
          <w:tab w:val="center" w:pos="590"/>
          <w:tab w:val="center" w:pos="1440"/>
          <w:tab w:val="left" w:pos="1872"/>
          <w:tab w:val="left" w:pos="9187"/>
        </w:tabs>
        <w:jc w:val="left"/>
      </w:pPr>
    </w:p>
    <w:p w:rsidR="00B34829" w:rsidRPr="00B34829" w:rsidRDefault="00B34829" w:rsidP="00B34829">
      <w:pPr>
        <w:widowControl w:val="0"/>
        <w:tabs>
          <w:tab w:val="center" w:pos="590"/>
          <w:tab w:val="center" w:pos="1440"/>
          <w:tab w:val="left" w:pos="1872"/>
          <w:tab w:val="left" w:pos="9187"/>
        </w:tabs>
        <w:jc w:val="left"/>
      </w:pPr>
      <w:r w:rsidRPr="00B34829">
        <w:rPr>
          <w:u w:val="single"/>
        </w:rPr>
        <w:tab/>
        <w:t>Date</w:t>
      </w:r>
      <w:r w:rsidRPr="00B34829">
        <w:rPr>
          <w:u w:val="single"/>
        </w:rPr>
        <w:tab/>
        <w:t>Body</w:t>
      </w:r>
      <w:r w:rsidRPr="00B34829">
        <w:rPr>
          <w:u w:val="single"/>
        </w:rPr>
        <w:tab/>
        <w:t>Action Description with journal page number</w:t>
      </w:r>
      <w:r w:rsidRPr="00B34829">
        <w:rPr>
          <w:u w:val="single"/>
        </w:rPr>
        <w:tab/>
      </w:r>
    </w:p>
    <w:p w:rsidR="00D271A0" w:rsidRDefault="00D271A0" w:rsidP="00D271A0">
      <w:pPr>
        <w:widowControl w:val="0"/>
        <w:tabs>
          <w:tab w:val="right" w:pos="1008"/>
          <w:tab w:val="left" w:pos="1152"/>
          <w:tab w:val="left" w:pos="1872"/>
          <w:tab w:val="left" w:pos="9187"/>
        </w:tabs>
        <w:ind w:left="2088" w:hanging="2088"/>
        <w:jc w:val="left"/>
      </w:pPr>
      <w:r>
        <w:tab/>
        <w:t>12/3/2014</w:t>
      </w:r>
      <w:r>
        <w:tab/>
        <w:t>Senate</w:t>
      </w:r>
      <w:r>
        <w:tab/>
      </w:r>
      <w:r w:rsidRPr="008615EB">
        <w:t>Prefiled</w:t>
      </w:r>
    </w:p>
    <w:p w:rsidR="00D271A0" w:rsidRDefault="00D271A0" w:rsidP="00D271A0">
      <w:pPr>
        <w:widowControl w:val="0"/>
        <w:tabs>
          <w:tab w:val="right" w:pos="1008"/>
          <w:tab w:val="left" w:pos="1152"/>
          <w:tab w:val="left" w:pos="1872"/>
          <w:tab w:val="left" w:pos="9187"/>
        </w:tabs>
        <w:ind w:left="2088" w:hanging="2088"/>
        <w:jc w:val="left"/>
      </w:pPr>
      <w:r>
        <w:tab/>
        <w:t>12/3/2014</w:t>
      </w:r>
      <w:r>
        <w:tab/>
        <w:t>Senate</w:t>
      </w:r>
      <w:r>
        <w:tab/>
      </w:r>
      <w:r w:rsidRPr="008615EB">
        <w:t xml:space="preserve">Referred to Committee on </w:t>
      </w:r>
      <w:r w:rsidRPr="008615EB">
        <w:rPr>
          <w:b/>
        </w:rPr>
        <w:t>Judiciary</w:t>
      </w:r>
    </w:p>
    <w:p w:rsidR="00D271A0" w:rsidRDefault="00D271A0" w:rsidP="00D271A0">
      <w:pPr>
        <w:widowControl w:val="0"/>
        <w:tabs>
          <w:tab w:val="right" w:pos="1008"/>
          <w:tab w:val="left" w:pos="1152"/>
          <w:tab w:val="left" w:pos="1872"/>
          <w:tab w:val="left" w:pos="9187"/>
        </w:tabs>
        <w:ind w:left="2088" w:hanging="2088"/>
        <w:jc w:val="left"/>
      </w:pPr>
      <w:r>
        <w:tab/>
        <w:t>1/13/2015</w:t>
      </w:r>
      <w:r>
        <w:tab/>
        <w:t>Senate</w:t>
      </w:r>
      <w:r>
        <w:tab/>
      </w:r>
      <w:r w:rsidRPr="008615EB">
        <w:t>Introduced and read first time (</w:t>
      </w:r>
      <w:hyperlink r:id="rId7" w:history="1">
        <w:r w:rsidRPr="00A36D20">
          <w:rPr>
            <w:rStyle w:val="Hyperlink"/>
          </w:rPr>
          <w:t>Senate Journal</w:t>
        </w:r>
        <w:r w:rsidRPr="00A36D20">
          <w:rPr>
            <w:rStyle w:val="Hyperlink"/>
          </w:rPr>
          <w:noBreakHyphen/>
          <w:t>page 44</w:t>
        </w:r>
      </w:hyperlink>
      <w:r w:rsidRPr="008615EB">
        <w:t>)</w:t>
      </w:r>
    </w:p>
    <w:p w:rsidR="00D271A0" w:rsidRDefault="00D271A0" w:rsidP="00D271A0">
      <w:pPr>
        <w:widowControl w:val="0"/>
        <w:tabs>
          <w:tab w:val="right" w:pos="1008"/>
          <w:tab w:val="left" w:pos="1152"/>
          <w:tab w:val="left" w:pos="1872"/>
          <w:tab w:val="left" w:pos="9187"/>
        </w:tabs>
        <w:ind w:left="2088" w:hanging="2088"/>
        <w:jc w:val="left"/>
      </w:pPr>
      <w:r>
        <w:tab/>
        <w:t>1/13/2015</w:t>
      </w:r>
      <w:r>
        <w:tab/>
        <w:t>Senate</w:t>
      </w:r>
      <w:r>
        <w:tab/>
      </w:r>
      <w:r w:rsidRPr="008615EB">
        <w:t>Ref</w:t>
      </w:r>
      <w:r>
        <w:t xml:space="preserve">erred to Committee on </w:t>
      </w:r>
      <w:r w:rsidRPr="008615EB">
        <w:rPr>
          <w:b/>
        </w:rPr>
        <w:t>Judiciary</w:t>
      </w:r>
      <w:r>
        <w:t xml:space="preserve"> </w:t>
      </w:r>
      <w:r w:rsidRPr="008615EB">
        <w:t>(</w:t>
      </w:r>
      <w:hyperlink r:id="rId8" w:history="1">
        <w:r w:rsidRPr="00A36D20">
          <w:rPr>
            <w:rStyle w:val="Hyperlink"/>
          </w:rPr>
          <w:t>Senate Journal</w:t>
        </w:r>
        <w:r w:rsidRPr="00A36D20">
          <w:rPr>
            <w:rStyle w:val="Hyperlink"/>
          </w:rPr>
          <w:noBreakHyphen/>
          <w:t>page 44</w:t>
        </w:r>
      </w:hyperlink>
      <w:r w:rsidRPr="008615EB">
        <w:t>)</w:t>
      </w:r>
    </w:p>
    <w:p w:rsidR="00D271A0" w:rsidRDefault="00D271A0" w:rsidP="00D271A0">
      <w:pPr>
        <w:widowControl w:val="0"/>
        <w:tabs>
          <w:tab w:val="right" w:pos="1008"/>
          <w:tab w:val="left" w:pos="1152"/>
          <w:tab w:val="left" w:pos="1872"/>
          <w:tab w:val="left" w:pos="9187"/>
        </w:tabs>
        <w:ind w:left="2088" w:hanging="2088"/>
        <w:jc w:val="left"/>
      </w:pPr>
      <w:r>
        <w:tab/>
        <w:t>2/25/2015</w:t>
      </w:r>
      <w:r>
        <w:tab/>
        <w:t>Senate</w:t>
      </w:r>
      <w:r>
        <w:tab/>
      </w:r>
      <w:r w:rsidRPr="008615EB">
        <w:t>Referred to S</w:t>
      </w:r>
      <w:r>
        <w:t xml:space="preserve">ubcommittee: Hutto (ch), Allen, </w:t>
      </w:r>
      <w:r w:rsidRPr="008615EB">
        <w:t>Hembree, Shealy, Young</w:t>
      </w:r>
    </w:p>
    <w:p w:rsidR="00D271A0" w:rsidRDefault="00D271A0" w:rsidP="00D271A0">
      <w:pPr>
        <w:widowControl w:val="0"/>
        <w:tabs>
          <w:tab w:val="right" w:pos="1008"/>
          <w:tab w:val="left" w:pos="1152"/>
          <w:tab w:val="left" w:pos="1872"/>
          <w:tab w:val="left" w:pos="9187"/>
        </w:tabs>
        <w:ind w:left="2088" w:hanging="2088"/>
        <w:jc w:val="left"/>
      </w:pPr>
    </w:p>
    <w:p w:rsidR="00B34829" w:rsidRDefault="00B34829" w:rsidP="00B34829">
      <w:pPr>
        <w:widowControl w:val="0"/>
        <w:tabs>
          <w:tab w:val="right" w:pos="1008"/>
          <w:tab w:val="left" w:pos="1152"/>
          <w:tab w:val="left" w:pos="1872"/>
          <w:tab w:val="left" w:pos="9187"/>
        </w:tabs>
        <w:ind w:left="2088" w:hanging="2088"/>
        <w:jc w:val="left"/>
      </w:pPr>
      <w:r>
        <w:t xml:space="preserve">View the latest </w:t>
      </w:r>
      <w:hyperlink r:id="rId9" w:history="1">
        <w:r w:rsidRPr="00B34829">
          <w:rPr>
            <w:rStyle w:val="Hyperlink"/>
          </w:rPr>
          <w:t>legislative information</w:t>
        </w:r>
      </w:hyperlink>
      <w:r>
        <w:t xml:space="preserve"> at the website</w:t>
      </w:r>
    </w:p>
    <w:p w:rsidR="00B34829" w:rsidRDefault="00B34829" w:rsidP="00B34829">
      <w:pPr>
        <w:widowControl w:val="0"/>
        <w:tabs>
          <w:tab w:val="right" w:pos="1008"/>
          <w:tab w:val="left" w:pos="1152"/>
          <w:tab w:val="left" w:pos="1872"/>
          <w:tab w:val="left" w:pos="9187"/>
        </w:tabs>
        <w:ind w:left="2088" w:hanging="2088"/>
        <w:jc w:val="left"/>
      </w:pPr>
    </w:p>
    <w:p w:rsidR="00B34829" w:rsidRPr="00B34829" w:rsidRDefault="00B34829" w:rsidP="00B34829">
      <w:pPr>
        <w:widowControl w:val="0"/>
        <w:tabs>
          <w:tab w:val="right" w:pos="1008"/>
          <w:tab w:val="left" w:pos="1152"/>
          <w:tab w:val="left" w:pos="1872"/>
          <w:tab w:val="left" w:pos="9187"/>
        </w:tabs>
        <w:ind w:left="2088" w:hanging="2088"/>
        <w:jc w:val="left"/>
      </w:pPr>
    </w:p>
    <w:p w:rsidR="00B34829" w:rsidRDefault="00B34829" w:rsidP="00B34829">
      <w:pPr>
        <w:widowControl w:val="0"/>
        <w:jc w:val="left"/>
      </w:pPr>
      <w:r w:rsidRPr="00B34829">
        <w:rPr>
          <w:b/>
        </w:rPr>
        <w:t>VERSIONS OF THIS BILL</w:t>
      </w:r>
    </w:p>
    <w:p w:rsidR="00B34829" w:rsidRDefault="00B34829" w:rsidP="00B34829">
      <w:pPr>
        <w:widowControl w:val="0"/>
        <w:jc w:val="left"/>
      </w:pPr>
    </w:p>
    <w:p w:rsidR="00B34829" w:rsidRDefault="00A36D20" w:rsidP="00B34829">
      <w:pPr>
        <w:widowControl w:val="0"/>
        <w:jc w:val="left"/>
      </w:pPr>
      <w:hyperlink r:id="rId10" w:history="1">
        <w:r w:rsidR="00B34829">
          <w:rPr>
            <w:rStyle w:val="Hyperlink"/>
          </w:rPr>
          <w:t>12/3/2014</w:t>
        </w:r>
      </w:hyperlink>
    </w:p>
    <w:p w:rsidR="00B34829" w:rsidRDefault="00B34829" w:rsidP="00B34829"/>
    <w:p w:rsidR="00B34829" w:rsidRDefault="00B34829" w:rsidP="00B34829">
      <w:pPr>
        <w:sectPr w:rsidR="00B34829" w:rsidSect="00B34829">
          <w:pgSz w:w="12240" w:h="15840" w:code="1"/>
          <w:pgMar w:top="1080" w:right="1440" w:bottom="1080" w:left="1440" w:header="720" w:footer="720" w:gutter="0"/>
          <w:cols w:space="720"/>
          <w:noEndnote/>
          <w:docGrid w:linePitch="360"/>
        </w:sectPr>
      </w:pPr>
    </w:p>
    <w:p w:rsidR="00011AE8" w:rsidRDefault="00011AE8" w:rsidP="00EA09EB">
      <w:pPr>
        <w:pStyle w:val="BillDots0"/>
      </w:pPr>
    </w:p>
    <w:p w:rsidR="00EA09EB" w:rsidRDefault="00EA09EB" w:rsidP="00EA09EB">
      <w:pPr>
        <w:pStyle w:val="Numbersforbills"/>
      </w:pPr>
    </w:p>
    <w:p w:rsidR="00EA09EB" w:rsidRDefault="00EA09EB" w:rsidP="00EA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EB" w:rsidRDefault="00EA09EB" w:rsidP="00EA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EB" w:rsidRDefault="00EA09EB" w:rsidP="00EA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EB" w:rsidRDefault="00EA09EB" w:rsidP="00EA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EB" w:rsidRDefault="00EA09EB" w:rsidP="00EA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76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B22" w:rsidP="0051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3 TO CHAPTER 25, TITLE 16 ENTITLED “DATING VIOLENCE” SO AS TO DEFINE NECESSARY TERMS, CREATE THE OFFENSE OF DATING VIOLENCE, AND PROVIDE A PENALTY.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7654" w:rsidRDefault="004F7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654" w:rsidRDefault="004F7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B22" w:rsidRPr="00E74B04" w:rsidRDefault="004F7654"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1B22" w:rsidRPr="00E74B04">
        <w:t>Chapter 25, Title 16 of the 1976 Code is amended by adding:</w:t>
      </w:r>
    </w:p>
    <w:p w:rsidR="00C61B22" w:rsidRPr="00E74B04"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B22" w:rsidRPr="00E74B04"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“Article 3</w:t>
      </w:r>
    </w:p>
    <w:p w:rsidR="00C61B22" w:rsidRPr="00E74B04"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61B22" w:rsidRPr="00E74B04"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Dating Violence</w:t>
      </w:r>
    </w:p>
    <w:p w:rsidR="00C61B22" w:rsidRPr="00E74B04"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t>30</w:t>
      </w:r>
      <w:r w:rsidRPr="003160FB">
        <w:rPr>
          <w:color w:val="000000" w:themeColor="text1"/>
          <w:u w:color="000000" w:themeColor="text1"/>
        </w:rPr>
        <w:t>0.</w:t>
      </w:r>
      <w:r w:rsidRPr="003160FB">
        <w:rPr>
          <w:color w:val="000000" w:themeColor="text1"/>
          <w:u w:color="000000" w:themeColor="text1"/>
        </w:rPr>
        <w:tab/>
        <w:t>(A)</w:t>
      </w:r>
      <w:r w:rsidRPr="003160FB">
        <w:rPr>
          <w:color w:val="000000" w:themeColor="text1"/>
          <w:u w:color="000000" w:themeColor="text1"/>
        </w:rPr>
        <w:tab/>
        <w:t>For purposes of this article, the term:</w:t>
      </w: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3160FB">
        <w:rPr>
          <w:color w:val="000000" w:themeColor="text1"/>
          <w:u w:color="000000" w:themeColor="text1"/>
        </w:rPr>
        <w:t>)</w:t>
      </w:r>
      <w:r w:rsidRPr="003160FB">
        <w:rPr>
          <w:color w:val="000000" w:themeColor="text1"/>
          <w:u w:color="000000" w:themeColor="text1"/>
        </w:rPr>
        <w:tab/>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means violence between persons who have or previously had a continuing and significant relationship of a romantic or intimate nature. The existence of this relationship must be determined based on consideration of the following factors</w:t>
      </w:r>
      <w:r>
        <w:rPr>
          <w:color w:val="000000" w:themeColor="text1"/>
          <w:u w:color="000000" w:themeColor="text1"/>
        </w:rPr>
        <w:t>, the:</w:t>
      </w: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ab/>
      </w:r>
      <w:r w:rsidRPr="003160FB">
        <w:rPr>
          <w:color w:val="000000" w:themeColor="text1"/>
          <w:u w:color="000000" w:themeColor="text1"/>
        </w:rPr>
        <w:tab/>
        <w:t>(a)</w:t>
      </w:r>
      <w:r>
        <w:rPr>
          <w:color w:val="000000" w:themeColor="text1"/>
          <w:u w:color="000000" w:themeColor="text1"/>
        </w:rPr>
        <w:tab/>
      </w:r>
      <w:r w:rsidRPr="003160FB">
        <w:rPr>
          <w:color w:val="000000" w:themeColor="text1"/>
          <w:u w:color="000000" w:themeColor="text1"/>
        </w:rPr>
        <w:t xml:space="preserve">dating relationship </w:t>
      </w:r>
      <w:r>
        <w:rPr>
          <w:color w:val="000000" w:themeColor="text1"/>
          <w:u w:color="000000" w:themeColor="text1"/>
        </w:rPr>
        <w:t>does not require sexual intimacy;</w:t>
      </w: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60FB">
        <w:rPr>
          <w:color w:val="000000" w:themeColor="text1"/>
          <w:u w:color="000000" w:themeColor="text1"/>
        </w:rPr>
        <w:t>(b)</w:t>
      </w:r>
      <w:r>
        <w:rPr>
          <w:color w:val="000000" w:themeColor="text1"/>
          <w:u w:color="000000" w:themeColor="text1"/>
        </w:rPr>
        <w:tab/>
      </w:r>
      <w:r w:rsidRPr="003160FB">
        <w:rPr>
          <w:color w:val="000000" w:themeColor="text1"/>
          <w:u w:color="000000" w:themeColor="text1"/>
        </w:rPr>
        <w:t>nature of the relationship was characterized by the expectation of</w:t>
      </w:r>
      <w:r>
        <w:rPr>
          <w:color w:val="000000" w:themeColor="text1"/>
          <w:u w:color="000000" w:themeColor="text1"/>
        </w:rPr>
        <w:t xml:space="preserve"> </w:t>
      </w:r>
      <w:r w:rsidRPr="003160FB">
        <w:rPr>
          <w:color w:val="000000" w:themeColor="text1"/>
          <w:u w:color="000000" w:themeColor="text1"/>
        </w:rPr>
        <w:t>affection between the parties</w:t>
      </w:r>
      <w:r>
        <w:rPr>
          <w:color w:val="000000" w:themeColor="text1"/>
          <w:u w:color="000000" w:themeColor="text1"/>
        </w:rPr>
        <w:t xml:space="preserve"> and includes ‘break-up’ violence or threats that escalate at the time or after the dating relationship ends; and</w:t>
      </w: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160FB">
        <w:rPr>
          <w:color w:val="000000" w:themeColor="text1"/>
          <w:u w:color="000000" w:themeColor="text1"/>
        </w:rPr>
        <w:t>frequency and type of interaction between the persons involved in the</w:t>
      </w:r>
      <w:r>
        <w:rPr>
          <w:color w:val="000000" w:themeColor="text1"/>
          <w:u w:color="000000" w:themeColor="text1"/>
        </w:rPr>
        <w:t xml:space="preserve"> </w:t>
      </w:r>
      <w:r w:rsidRPr="003160FB">
        <w:rPr>
          <w:color w:val="000000" w:themeColor="text1"/>
          <w:u w:color="000000" w:themeColor="text1"/>
        </w:rPr>
        <w:t xml:space="preserve">relationship must have included that the persons were involved over time and on a continuous basis during the course of the relationship. </w:t>
      </w:r>
      <w:r>
        <w:rPr>
          <w:color w:val="000000" w:themeColor="text1"/>
          <w:u w:color="000000" w:themeColor="text1"/>
        </w:rPr>
        <w:t xml:space="preserve"> </w:t>
      </w:r>
      <w:r w:rsidRPr="003160FB">
        <w:rPr>
          <w:color w:val="000000" w:themeColor="text1"/>
          <w:u w:color="000000" w:themeColor="text1"/>
        </w:rPr>
        <w:t xml:space="preserve">The term </w:t>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does not include violence in a casual acquaintanceship or violence between persons </w:t>
      </w:r>
      <w:r w:rsidRPr="003160FB">
        <w:rPr>
          <w:color w:val="000000" w:themeColor="text1"/>
          <w:u w:color="000000" w:themeColor="text1"/>
        </w:rPr>
        <w:lastRenderedPageBreak/>
        <w:t>who have only engaged in ordinary fraternization in a business or social context.</w:t>
      </w: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r>
      <w:r w:rsidRPr="003160FB">
        <w:rPr>
          <w:color w:val="000000" w:themeColor="text1"/>
          <w:u w:color="000000" w:themeColor="text1"/>
        </w:rPr>
        <w:tab/>
        <w:t>(2)</w:t>
      </w:r>
      <w:r w:rsidRPr="003160FB">
        <w:rPr>
          <w:color w:val="000000" w:themeColor="text1"/>
          <w:u w:color="000000" w:themeColor="text1"/>
        </w:rPr>
        <w:tab/>
      </w:r>
      <w:r w:rsidRPr="00E74B04">
        <w:rPr>
          <w:color w:val="000000" w:themeColor="text1"/>
          <w:u w:color="000000" w:themeColor="text1"/>
        </w:rPr>
        <w:t>‘</w:t>
      </w:r>
      <w:r>
        <w:rPr>
          <w:color w:val="000000" w:themeColor="text1"/>
          <w:u w:color="000000" w:themeColor="text1"/>
        </w:rPr>
        <w:t>Violence’</w:t>
      </w:r>
      <w:r w:rsidRPr="003160FB">
        <w:rPr>
          <w:color w:val="000000" w:themeColor="text1"/>
          <w:u w:color="000000" w:themeColor="text1"/>
        </w:rPr>
        <w:t xml:space="preserve"> means any assault, aggravated assault, battery, aggravated battery, sexual assault or battery or criminal sexual conduct offense, stalking, </w:t>
      </w:r>
      <w:r>
        <w:rPr>
          <w:color w:val="000000" w:themeColor="text1"/>
          <w:u w:color="000000" w:themeColor="text1"/>
        </w:rPr>
        <w:t xml:space="preserve">or </w:t>
      </w:r>
      <w:r w:rsidRPr="003160FB">
        <w:rPr>
          <w:color w:val="000000" w:themeColor="text1"/>
          <w:u w:color="000000" w:themeColor="text1"/>
        </w:rPr>
        <w:t>kidnapping</w:t>
      </w:r>
      <w:r>
        <w:rPr>
          <w:color w:val="000000" w:themeColor="text1"/>
          <w:u w:color="000000" w:themeColor="text1"/>
        </w:rPr>
        <w:t xml:space="preserve"> resulting in the victim having reasonable cause to believe that the victim is in imminent danger of becoming the subject of an act of violence, or threats or attempts to abuse the victim, or physical injury or death to the </w:t>
      </w:r>
      <w:r w:rsidRPr="003160FB">
        <w:rPr>
          <w:color w:val="000000" w:themeColor="text1"/>
          <w:u w:color="000000" w:themeColor="text1"/>
        </w:rPr>
        <w:t>victim.</w:t>
      </w: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 xml:space="preserve"> </w:t>
      </w:r>
      <w:r w:rsidRPr="003160FB">
        <w:rPr>
          <w:color w:val="000000" w:themeColor="text1"/>
          <w:u w:color="000000" w:themeColor="text1"/>
        </w:rPr>
        <w:tab/>
        <w:t>(B)</w:t>
      </w:r>
      <w:r w:rsidRPr="003160FB">
        <w:rPr>
          <w:color w:val="000000" w:themeColor="text1"/>
          <w:u w:color="000000" w:themeColor="text1"/>
        </w:rPr>
        <w:tab/>
        <w:t>A person commits the offense of dating violence when the victim has reasonable cause to believe that the victim is in imminent danger of becoming the subject of an act of dating violence, or when a victim presents sufficient evidence that the current or former partner of the relationship threatened to, attempted to, or actually physically abused the victim.</w:t>
      </w: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t>(C)</w:t>
      </w:r>
      <w:r w:rsidRPr="003160FB">
        <w:rPr>
          <w:color w:val="000000" w:themeColor="text1"/>
          <w:u w:color="000000" w:themeColor="text1"/>
        </w:rPr>
        <w:tab/>
        <w:t>A person who violates the provisions of this section is guilty of the offense of dating violence and must be punished, upon conviction, pursuant to the provisions of 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r>
      <w:r w:rsidRPr="003160FB">
        <w:rPr>
          <w:color w:val="000000" w:themeColor="text1"/>
          <w:u w:color="000000" w:themeColor="text1"/>
        </w:rPr>
        <w:t>20(B).  A violation of the provisions of this section is not considered a lesser</w:t>
      </w:r>
      <w:r>
        <w:rPr>
          <w:color w:val="000000" w:themeColor="text1"/>
          <w:u w:color="000000" w:themeColor="text1"/>
        </w:rPr>
        <w:noBreakHyphen/>
      </w:r>
      <w:r w:rsidRPr="003160FB">
        <w:rPr>
          <w:color w:val="000000" w:themeColor="text1"/>
          <w:u w:color="000000" w:themeColor="text1"/>
        </w:rPr>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w:t>
      </w:r>
      <w:r>
        <w:rPr>
          <w:color w:val="000000" w:themeColor="text1"/>
          <w:u w:color="000000" w:themeColor="text1"/>
        </w:rPr>
        <w:t>osed for an underlying offense.</w:t>
      </w:r>
    </w:p>
    <w:p w:rsidR="00C61B22"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person under the age of eighteen may not be charged with a violation of this section.”</w:t>
      </w: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654" w:rsidRDefault="00C61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7B4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4829" w:rsidRDefault="00B34829" w:rsidP="00B34829">
      <w:pPr>
        <w:suppressAutoHyphens/>
      </w:pPr>
    </w:p>
    <w:sectPr w:rsidR="00B34829" w:rsidSect="00B3482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654" w:rsidRDefault="004F7654" w:rsidP="009F0C77">
      <w:r>
        <w:separator/>
      </w:r>
    </w:p>
  </w:endnote>
  <w:endnote w:type="continuationSeparator" w:id="0">
    <w:p w:rsidR="004F7654" w:rsidRDefault="004F76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58C0B2-B66E-4D4C-AEFA-EA9B14BE30CC}"/>
    <w:embedBold r:id="rId2" w:fontKey="{AF2F5B15-ECA4-40FF-AE7F-849E7E1F882F}"/>
  </w:font>
  <w:font w:name="Calibri">
    <w:panose1 w:val="020F0502020204030204"/>
    <w:charset w:val="00"/>
    <w:family w:val="swiss"/>
    <w:pitch w:val="variable"/>
    <w:sig w:usb0="E00002FF" w:usb1="4000ACFF" w:usb2="00000001" w:usb3="00000000" w:csb0="0000019F" w:csb1="00000000"/>
    <w:embedRegular r:id="rId3" w:fontKey="{678A95C4-F0C7-459C-BA1D-CC6DABB3876F}"/>
  </w:font>
  <w:font w:name="Cambria">
    <w:panose1 w:val="02040503050406030204"/>
    <w:charset w:val="00"/>
    <w:family w:val="roman"/>
    <w:pitch w:val="variable"/>
    <w:sig w:usb0="E00002FF" w:usb1="400004FF" w:usb2="00000000" w:usb3="00000000" w:csb0="0000019F" w:csb1="00000000"/>
    <w:embedRegular r:id="rId4" w:fontKey="{3BA86AF7-5538-4CDE-B7A3-2426E90AE8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829" w:rsidRPr="00011AE8" w:rsidRDefault="00B34829" w:rsidP="00011AE8">
    <w:pPr>
      <w:pStyle w:val="Footer"/>
      <w:tabs>
        <w:tab w:val="clear" w:pos="4680"/>
        <w:tab w:val="clear" w:pos="9360"/>
        <w:tab w:val="center" w:pos="2995"/>
      </w:tabs>
      <w:spacing w:before="120"/>
    </w:pPr>
    <w:r>
      <w:t>[19]</w:t>
    </w:r>
    <w:r>
      <w:tab/>
    </w:r>
    <w:r>
      <w:fldChar w:fldCharType="begin"/>
    </w:r>
    <w:r>
      <w:instrText xml:space="preserve"> PAGE  \* MERGEFORMAT </w:instrText>
    </w:r>
    <w:r>
      <w:fldChar w:fldCharType="separate"/>
    </w:r>
    <w:r w:rsidR="00A36D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654" w:rsidRDefault="004F7654" w:rsidP="009F0C77">
      <w:r>
        <w:separator/>
      </w:r>
    </w:p>
  </w:footnote>
  <w:footnote w:type="continuationSeparator" w:id="0">
    <w:p w:rsidR="004F7654" w:rsidRDefault="004F76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24AHB15"/>
    <w:docVar w:name="CoverBillType" w:val="b"/>
    <w:docVar w:name="docpath" w:val="L:\Council\bills\MS\7024AHB15.DOCX"/>
    <w:docVar w:name="dvBillNumber" w:val="19"/>
    <w:docVar w:name="dvBillNumberPrefix" w:val="S. "/>
    <w:docVar w:name="dvOriginalBody" w:val="Senate"/>
    <w:docVar w:name="dvSteno" w:val="MS"/>
    <w:docVar w:name="NameofBody" w:val="s"/>
    <w:docVar w:name="vgroup2" w:val="Council"/>
  </w:docVars>
  <w:rsids>
    <w:rsidRoot w:val="004F7654"/>
    <w:rsid w:val="00011AE8"/>
    <w:rsid w:val="00024340"/>
    <w:rsid w:val="00026C9A"/>
    <w:rsid w:val="000965A1"/>
    <w:rsid w:val="000E1785"/>
    <w:rsid w:val="000F39F2"/>
    <w:rsid w:val="001023A4"/>
    <w:rsid w:val="0010776B"/>
    <w:rsid w:val="00133E66"/>
    <w:rsid w:val="00134ACF"/>
    <w:rsid w:val="00144E15"/>
    <w:rsid w:val="001A4A62"/>
    <w:rsid w:val="001A681E"/>
    <w:rsid w:val="001D08F2"/>
    <w:rsid w:val="001D3E86"/>
    <w:rsid w:val="001D48D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F7654"/>
    <w:rsid w:val="00511EE9"/>
    <w:rsid w:val="00514B1A"/>
    <w:rsid w:val="00521E00"/>
    <w:rsid w:val="00577C6C"/>
    <w:rsid w:val="0058501B"/>
    <w:rsid w:val="0061228A"/>
    <w:rsid w:val="006215AA"/>
    <w:rsid w:val="006340D9"/>
    <w:rsid w:val="00643290"/>
    <w:rsid w:val="00643B8E"/>
    <w:rsid w:val="00665EBC"/>
    <w:rsid w:val="0069470D"/>
    <w:rsid w:val="006A476C"/>
    <w:rsid w:val="006C6A93"/>
    <w:rsid w:val="006E02F9"/>
    <w:rsid w:val="00726C7D"/>
    <w:rsid w:val="00753C04"/>
    <w:rsid w:val="00756946"/>
    <w:rsid w:val="00757F80"/>
    <w:rsid w:val="00771EEC"/>
    <w:rsid w:val="00786819"/>
    <w:rsid w:val="007A325A"/>
    <w:rsid w:val="007F1523"/>
    <w:rsid w:val="007F509E"/>
    <w:rsid w:val="007F5799"/>
    <w:rsid w:val="007F6947"/>
    <w:rsid w:val="00820A8D"/>
    <w:rsid w:val="00872729"/>
    <w:rsid w:val="008F4429"/>
    <w:rsid w:val="00932670"/>
    <w:rsid w:val="009352BB"/>
    <w:rsid w:val="00990668"/>
    <w:rsid w:val="009B397B"/>
    <w:rsid w:val="009D463E"/>
    <w:rsid w:val="009F0C77"/>
    <w:rsid w:val="009F4DD1"/>
    <w:rsid w:val="009F7D7C"/>
    <w:rsid w:val="00A36D20"/>
    <w:rsid w:val="00A64E80"/>
    <w:rsid w:val="00A741D9"/>
    <w:rsid w:val="00A9741D"/>
    <w:rsid w:val="00AD4B17"/>
    <w:rsid w:val="00B26FA6"/>
    <w:rsid w:val="00B34829"/>
    <w:rsid w:val="00B741CB"/>
    <w:rsid w:val="00B934F3"/>
    <w:rsid w:val="00BB6347"/>
    <w:rsid w:val="00BD2134"/>
    <w:rsid w:val="00C038D8"/>
    <w:rsid w:val="00C045DD"/>
    <w:rsid w:val="00C3136F"/>
    <w:rsid w:val="00C3483A"/>
    <w:rsid w:val="00C61B22"/>
    <w:rsid w:val="00C74E9D"/>
    <w:rsid w:val="00C82FD3"/>
    <w:rsid w:val="00CC6B7B"/>
    <w:rsid w:val="00CD3619"/>
    <w:rsid w:val="00CF4447"/>
    <w:rsid w:val="00D271A0"/>
    <w:rsid w:val="00D405E7"/>
    <w:rsid w:val="00D41D56"/>
    <w:rsid w:val="00D6260D"/>
    <w:rsid w:val="00D6662B"/>
    <w:rsid w:val="00D95E2F"/>
    <w:rsid w:val="00D970A9"/>
    <w:rsid w:val="00DB3AC0"/>
    <w:rsid w:val="00DE68F0"/>
    <w:rsid w:val="00DF3845"/>
    <w:rsid w:val="00DF7E17"/>
    <w:rsid w:val="00E67B47"/>
    <w:rsid w:val="00EA09EB"/>
    <w:rsid w:val="00EB00A2"/>
    <w:rsid w:val="00EB1BF3"/>
    <w:rsid w:val="00EF3EEE"/>
    <w:rsid w:val="00F149A7"/>
    <w:rsid w:val="00F50BAF"/>
    <w:rsid w:val="00F52C10"/>
    <w:rsid w:val="00F81FFD"/>
    <w:rsid w:val="00F85228"/>
    <w:rsid w:val="00FA24C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96028A-753E-409A-83FA-DF325E46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A09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09EB"/>
    <w:pPr>
      <w:tabs>
        <w:tab w:val="right" w:pos="5904"/>
      </w:tabs>
    </w:pPr>
  </w:style>
  <w:style w:type="character" w:styleId="Hyperlink">
    <w:name w:val="Hyperlink"/>
    <w:basedOn w:val="DefaultParagraphFont"/>
    <w:uiPriority w:val="99"/>
    <w:unhideWhenUsed/>
    <w:rsid w:val="00B348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9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A7D55-9DF8-49A1-AC4C-F8E54D634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604</Words>
  <Characters>3447</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 Dating Violence - South Carolina Legislature Online</dc:title>
  <dc:subject/>
  <dc:creator>MarthaSanders</dc:creator>
  <cp:keywords/>
  <dc:description/>
  <cp:lastModifiedBy>N Cumfer</cp:lastModifiedBy>
  <cp:revision>2</cp:revision>
  <cp:lastPrinted>2014-12-01T16:01:00Z</cp:lastPrinted>
  <dcterms:created xsi:type="dcterms:W3CDTF">2016-12-02T16:48:00Z</dcterms:created>
  <dcterms:modified xsi:type="dcterms:W3CDTF">2016-12-02T16:48:00Z</dcterms:modified>
</cp:coreProperties>
</file>