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709" w:rsidRDefault="00517709" w:rsidP="00517709">
      <w:pPr>
        <w:widowControl w:val="0"/>
        <w:jc w:val="center"/>
      </w:pPr>
      <w:bookmarkStart w:id="0" w:name="_GoBack"/>
      <w:bookmarkEnd w:id="0"/>
      <w:r w:rsidRPr="00517709">
        <w:rPr>
          <w:b/>
        </w:rPr>
        <w:t>South Carolina General Assembly</w:t>
      </w:r>
    </w:p>
    <w:p w:rsidR="00517709" w:rsidRDefault="00517709" w:rsidP="00517709">
      <w:pPr>
        <w:widowControl w:val="0"/>
        <w:jc w:val="center"/>
      </w:pPr>
      <w:r>
        <w:t>121st Session, 2015-2016</w:t>
      </w:r>
    </w:p>
    <w:p w:rsidR="00517709" w:rsidRDefault="00517709" w:rsidP="00517709">
      <w:pPr>
        <w:widowControl w:val="0"/>
      </w:pPr>
    </w:p>
    <w:p w:rsidR="00517709" w:rsidRDefault="00517709" w:rsidP="00517709">
      <w:pPr>
        <w:widowControl w:val="0"/>
        <w:rPr>
          <w:b/>
        </w:rPr>
      </w:pPr>
      <w:r w:rsidRPr="00517709">
        <w:rPr>
          <w:b/>
        </w:rPr>
        <w:t>S.</w:t>
      </w:r>
      <w:r>
        <w:rPr>
          <w:b/>
        </w:rPr>
        <w:t xml:space="preserve"> </w:t>
      </w:r>
      <w:r w:rsidRPr="00517709">
        <w:rPr>
          <w:b/>
        </w:rPr>
        <w:t>297</w:t>
      </w:r>
    </w:p>
    <w:p w:rsidR="00517709" w:rsidRDefault="00517709" w:rsidP="00517709">
      <w:pPr>
        <w:widowControl w:val="0"/>
        <w:rPr>
          <w:b/>
        </w:rPr>
      </w:pPr>
    </w:p>
    <w:p w:rsidR="00517709" w:rsidRDefault="00517709" w:rsidP="00517709">
      <w:pPr>
        <w:widowControl w:val="0"/>
      </w:pPr>
      <w:r w:rsidRPr="00517709">
        <w:rPr>
          <w:b/>
        </w:rPr>
        <w:t>STATUS INFORMATION</w:t>
      </w:r>
    </w:p>
    <w:p w:rsidR="00517709" w:rsidRDefault="00517709" w:rsidP="00517709">
      <w:pPr>
        <w:widowControl w:val="0"/>
      </w:pPr>
    </w:p>
    <w:p w:rsidR="00517709" w:rsidRDefault="00517709" w:rsidP="00517709">
      <w:pPr>
        <w:widowControl w:val="0"/>
      </w:pPr>
      <w:r>
        <w:t>General Bill</w:t>
      </w:r>
    </w:p>
    <w:p w:rsidR="00517709" w:rsidRDefault="008E392D" w:rsidP="00517709">
      <w:pPr>
        <w:widowControl w:val="0"/>
      </w:pPr>
      <w:r>
        <w:t>Sponsors: Senators Alexander, Bryant and Bennett</w:t>
      </w:r>
    </w:p>
    <w:p w:rsidR="00517709" w:rsidRDefault="00517709" w:rsidP="00517709">
      <w:pPr>
        <w:widowControl w:val="0"/>
      </w:pPr>
      <w:r>
        <w:t>Document Path: l:\s-res\tca\018sc r.ls.tca.docx</w:t>
      </w:r>
    </w:p>
    <w:p w:rsidR="00517709" w:rsidRDefault="00517709" w:rsidP="00517709">
      <w:pPr>
        <w:widowControl w:val="0"/>
      </w:pPr>
    </w:p>
    <w:p w:rsidR="00517709" w:rsidRDefault="00517709" w:rsidP="00517709">
      <w:pPr>
        <w:widowControl w:val="0"/>
      </w:pPr>
      <w:r>
        <w:t>Introduced in the Senate on January 13, 2015</w:t>
      </w:r>
    </w:p>
    <w:p w:rsidR="00517709" w:rsidRDefault="00517709" w:rsidP="00517709">
      <w:pPr>
        <w:widowControl w:val="0"/>
      </w:pPr>
      <w:r>
        <w:t xml:space="preserve">Currently residing in the Senate Committee on </w:t>
      </w:r>
      <w:r w:rsidRPr="00517709">
        <w:rPr>
          <w:b/>
        </w:rPr>
        <w:t>Judiciary</w:t>
      </w:r>
    </w:p>
    <w:p w:rsidR="00517709" w:rsidRDefault="00517709" w:rsidP="00517709">
      <w:pPr>
        <w:widowControl w:val="0"/>
      </w:pPr>
    </w:p>
    <w:p w:rsidR="00517709" w:rsidRDefault="00517709" w:rsidP="00517709">
      <w:pPr>
        <w:widowControl w:val="0"/>
      </w:pPr>
      <w:r>
        <w:t xml:space="preserve">Summary: </w:t>
      </w:r>
      <w:r w:rsidR="00CA001B">
        <w:t>SC Regulatory Reform Act</w:t>
      </w:r>
    </w:p>
    <w:p w:rsidR="00517709" w:rsidRDefault="00517709" w:rsidP="00517709">
      <w:pPr>
        <w:widowControl w:val="0"/>
      </w:pPr>
    </w:p>
    <w:p w:rsidR="00517709" w:rsidRDefault="00517709" w:rsidP="00517709">
      <w:pPr>
        <w:widowControl w:val="0"/>
      </w:pPr>
    </w:p>
    <w:p w:rsidR="00517709" w:rsidRDefault="00517709" w:rsidP="00517709">
      <w:pPr>
        <w:widowControl w:val="0"/>
        <w:tabs>
          <w:tab w:val="center" w:pos="590"/>
          <w:tab w:val="center" w:pos="1440"/>
          <w:tab w:val="left" w:pos="1872"/>
          <w:tab w:val="left" w:pos="9187"/>
        </w:tabs>
      </w:pPr>
      <w:r w:rsidRPr="00517709">
        <w:rPr>
          <w:b/>
        </w:rPr>
        <w:t>HISTORY OF LEGISLATIVE ACTIONS</w:t>
      </w:r>
    </w:p>
    <w:p w:rsidR="00517709" w:rsidRDefault="00517709" w:rsidP="00517709">
      <w:pPr>
        <w:widowControl w:val="0"/>
        <w:tabs>
          <w:tab w:val="center" w:pos="590"/>
          <w:tab w:val="center" w:pos="1440"/>
          <w:tab w:val="left" w:pos="1872"/>
          <w:tab w:val="left" w:pos="9187"/>
        </w:tabs>
      </w:pPr>
    </w:p>
    <w:p w:rsidR="00517709" w:rsidRPr="00517709" w:rsidRDefault="00517709" w:rsidP="00517709">
      <w:pPr>
        <w:widowControl w:val="0"/>
        <w:tabs>
          <w:tab w:val="center" w:pos="590"/>
          <w:tab w:val="center" w:pos="1440"/>
          <w:tab w:val="left" w:pos="1872"/>
          <w:tab w:val="left" w:pos="9187"/>
        </w:tabs>
      </w:pPr>
      <w:r w:rsidRPr="00517709">
        <w:rPr>
          <w:u w:val="single"/>
        </w:rPr>
        <w:tab/>
        <w:t>Date</w:t>
      </w:r>
      <w:r w:rsidRPr="00517709">
        <w:rPr>
          <w:u w:val="single"/>
        </w:rPr>
        <w:tab/>
        <w:t>Body</w:t>
      </w:r>
      <w:r w:rsidRPr="00517709">
        <w:rPr>
          <w:u w:val="single"/>
        </w:rPr>
        <w:tab/>
        <w:t>Action Description with journal page number</w:t>
      </w:r>
      <w:r w:rsidRPr="00517709">
        <w:rPr>
          <w:u w:val="single"/>
        </w:rPr>
        <w:tab/>
      </w:r>
    </w:p>
    <w:p w:rsidR="00AE1EA4" w:rsidRDefault="00AE1EA4" w:rsidP="00AE1EA4">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0A0FB9">
        <w:t>(</w:t>
      </w:r>
      <w:hyperlink r:id="rId6" w:history="1">
        <w:r w:rsidRPr="007B5327">
          <w:rPr>
            <w:rStyle w:val="Hyperlink"/>
          </w:rPr>
          <w:t>Senate Journal</w:t>
        </w:r>
        <w:r w:rsidRPr="007B5327">
          <w:rPr>
            <w:rStyle w:val="Hyperlink"/>
          </w:rPr>
          <w:noBreakHyphen/>
          <w:t>page 173</w:t>
        </w:r>
      </w:hyperlink>
      <w:r w:rsidRPr="000A0FB9">
        <w:t>)</w:t>
      </w:r>
    </w:p>
    <w:p w:rsidR="00AE1EA4" w:rsidRDefault="00AE1EA4" w:rsidP="00AE1EA4">
      <w:pPr>
        <w:widowControl w:val="0"/>
        <w:tabs>
          <w:tab w:val="right" w:pos="1008"/>
          <w:tab w:val="left" w:pos="1152"/>
          <w:tab w:val="left" w:pos="1872"/>
          <w:tab w:val="left" w:pos="9187"/>
        </w:tabs>
        <w:ind w:left="2088" w:hanging="2088"/>
      </w:pPr>
      <w:r>
        <w:tab/>
        <w:t>1/13/2015</w:t>
      </w:r>
      <w:r>
        <w:tab/>
        <w:t>Senate</w:t>
      </w:r>
      <w:r>
        <w:tab/>
      </w:r>
      <w:r w:rsidRPr="000A0FB9">
        <w:t>Ref</w:t>
      </w:r>
      <w:r>
        <w:t xml:space="preserve">erred to Committee on </w:t>
      </w:r>
      <w:r w:rsidRPr="000A0FB9">
        <w:rPr>
          <w:b/>
        </w:rPr>
        <w:t>Judiciary</w:t>
      </w:r>
      <w:r>
        <w:t xml:space="preserve"> </w:t>
      </w:r>
      <w:r w:rsidRPr="000A0FB9">
        <w:t>(</w:t>
      </w:r>
      <w:hyperlink r:id="rId7" w:history="1">
        <w:r w:rsidRPr="007B5327">
          <w:rPr>
            <w:rStyle w:val="Hyperlink"/>
          </w:rPr>
          <w:t>Senate Journal</w:t>
        </w:r>
        <w:r w:rsidRPr="007B5327">
          <w:rPr>
            <w:rStyle w:val="Hyperlink"/>
          </w:rPr>
          <w:noBreakHyphen/>
          <w:t>page 173</w:t>
        </w:r>
      </w:hyperlink>
      <w:r w:rsidRPr="000A0FB9">
        <w:t>)</w:t>
      </w:r>
    </w:p>
    <w:p w:rsidR="00AE1EA4" w:rsidRDefault="00AE1EA4" w:rsidP="00AE1EA4">
      <w:pPr>
        <w:widowControl w:val="0"/>
        <w:tabs>
          <w:tab w:val="right" w:pos="1008"/>
          <w:tab w:val="left" w:pos="1152"/>
          <w:tab w:val="left" w:pos="1872"/>
          <w:tab w:val="left" w:pos="9187"/>
        </w:tabs>
        <w:ind w:left="2088" w:hanging="2088"/>
      </w:pPr>
      <w:r>
        <w:tab/>
        <w:t>4/22/2015</w:t>
      </w:r>
      <w:r>
        <w:tab/>
        <w:t>Senate</w:t>
      </w:r>
      <w:r>
        <w:tab/>
      </w:r>
      <w:r w:rsidRPr="000A0FB9">
        <w:t>Referred to Subcom</w:t>
      </w:r>
      <w:r>
        <w:t xml:space="preserve">mittee: Massey (ch), Malloy, </w:t>
      </w:r>
      <w:r w:rsidRPr="000A0FB9">
        <w:t>Gregory, Hembree, Johnson</w:t>
      </w:r>
    </w:p>
    <w:p w:rsidR="00AE1EA4" w:rsidRDefault="00AE1EA4" w:rsidP="00AE1EA4">
      <w:pPr>
        <w:widowControl w:val="0"/>
        <w:tabs>
          <w:tab w:val="right" w:pos="1008"/>
          <w:tab w:val="left" w:pos="1152"/>
          <w:tab w:val="left" w:pos="1872"/>
          <w:tab w:val="left" w:pos="9187"/>
        </w:tabs>
        <w:ind w:left="2088" w:hanging="2088"/>
      </w:pPr>
    </w:p>
    <w:p w:rsidR="00517709" w:rsidRDefault="00517709" w:rsidP="00517709">
      <w:pPr>
        <w:widowControl w:val="0"/>
        <w:tabs>
          <w:tab w:val="right" w:pos="1008"/>
          <w:tab w:val="left" w:pos="1152"/>
          <w:tab w:val="left" w:pos="1872"/>
          <w:tab w:val="left" w:pos="9187"/>
        </w:tabs>
        <w:ind w:left="2088" w:hanging="2088"/>
      </w:pPr>
      <w:r>
        <w:t xml:space="preserve">View the latest </w:t>
      </w:r>
      <w:hyperlink r:id="rId8" w:history="1">
        <w:r w:rsidRPr="00517709">
          <w:rPr>
            <w:rStyle w:val="Hyperlink"/>
          </w:rPr>
          <w:t>legislative information</w:t>
        </w:r>
      </w:hyperlink>
      <w:r>
        <w:t xml:space="preserve"> at the website</w:t>
      </w:r>
    </w:p>
    <w:p w:rsidR="00517709" w:rsidRDefault="00517709" w:rsidP="00517709">
      <w:pPr>
        <w:widowControl w:val="0"/>
        <w:tabs>
          <w:tab w:val="right" w:pos="1008"/>
          <w:tab w:val="left" w:pos="1152"/>
          <w:tab w:val="left" w:pos="1872"/>
          <w:tab w:val="left" w:pos="9187"/>
        </w:tabs>
        <w:ind w:left="2088" w:hanging="2088"/>
      </w:pPr>
    </w:p>
    <w:p w:rsidR="00517709" w:rsidRPr="00517709" w:rsidRDefault="00517709" w:rsidP="00517709">
      <w:pPr>
        <w:widowControl w:val="0"/>
        <w:tabs>
          <w:tab w:val="right" w:pos="1008"/>
          <w:tab w:val="left" w:pos="1152"/>
          <w:tab w:val="left" w:pos="1872"/>
          <w:tab w:val="left" w:pos="9187"/>
        </w:tabs>
        <w:ind w:left="2088" w:hanging="2088"/>
      </w:pPr>
    </w:p>
    <w:p w:rsidR="00517709" w:rsidRDefault="00517709" w:rsidP="00517709">
      <w:pPr>
        <w:widowControl w:val="0"/>
      </w:pPr>
      <w:r w:rsidRPr="00517709">
        <w:rPr>
          <w:b/>
        </w:rPr>
        <w:t>VERSIONS OF THIS BILL</w:t>
      </w:r>
    </w:p>
    <w:p w:rsidR="00517709" w:rsidRDefault="00517709" w:rsidP="00517709">
      <w:pPr>
        <w:widowControl w:val="0"/>
      </w:pPr>
    </w:p>
    <w:p w:rsidR="00517709" w:rsidRDefault="007B5327" w:rsidP="00517709">
      <w:pPr>
        <w:widowControl w:val="0"/>
      </w:pPr>
      <w:hyperlink r:id="rId9" w:history="1">
        <w:r w:rsidR="00517709">
          <w:rPr>
            <w:rStyle w:val="Hyperlink"/>
          </w:rPr>
          <w:t>1/13/2015</w:t>
        </w:r>
      </w:hyperlink>
    </w:p>
    <w:p w:rsidR="00517709" w:rsidRDefault="00517709" w:rsidP="00517709"/>
    <w:p w:rsidR="00517709" w:rsidRDefault="00517709" w:rsidP="00517709">
      <w:pPr>
        <w:sectPr w:rsidR="00517709" w:rsidSect="00517709">
          <w:pgSz w:w="12240" w:h="15840" w:code="1"/>
          <w:pgMar w:top="1080" w:right="1440" w:bottom="1080" w:left="1440" w:header="720" w:footer="720" w:gutter="0"/>
          <w:cols w:space="720"/>
          <w:noEndnote/>
          <w:docGrid w:linePitch="360"/>
        </w:sectPr>
      </w:pPr>
    </w:p>
    <w:p w:rsidR="000A720A" w:rsidRPr="00522CE0" w:rsidRDefault="000A72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1F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7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C0E72">
        <w:rPr>
          <w:color w:val="000000" w:themeColor="text1"/>
          <w:u w:color="000000" w:themeColor="text1"/>
        </w:rPr>
        <w:t xml:space="preserve">TO </w:t>
      </w:r>
      <w:r>
        <w:rPr>
          <w:color w:val="000000" w:themeColor="text1"/>
          <w:u w:color="000000" w:themeColor="text1"/>
        </w:rPr>
        <w:t xml:space="preserve">AMEND THE CODE OF LAWS OF SOUTH CAROLINA, 1976, TO </w:t>
      </w:r>
      <w:r w:rsidRPr="00CC0E72">
        <w:rPr>
          <w:color w:val="000000" w:themeColor="text1"/>
          <w:u w:color="000000" w:themeColor="text1"/>
        </w:rPr>
        <w:t xml:space="preserve">ENACT THE “SOUTH </w:t>
      </w:r>
      <w:r>
        <w:rPr>
          <w:color w:val="000000" w:themeColor="text1"/>
          <w:u w:color="000000" w:themeColor="text1"/>
        </w:rPr>
        <w:t>CAROLINA REGULATORY REFORM ACT”</w:t>
      </w:r>
      <w:r w:rsidRPr="00CC0E72">
        <w:rPr>
          <w:color w:val="000000" w:themeColor="text1"/>
          <w:u w:color="000000" w:themeColor="text1"/>
        </w:rPr>
        <w:t xml:space="preserve"> BY ADDING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 xml:space="preserve">122 SO AS TO CLARIFY </w:t>
      </w:r>
      <w:r w:rsidR="0071194A">
        <w:rPr>
          <w:color w:val="000000" w:themeColor="text1"/>
          <w:u w:color="000000" w:themeColor="text1"/>
        </w:rPr>
        <w:t xml:space="preserve">THAT </w:t>
      </w:r>
      <w:r w:rsidRPr="00CC0E72">
        <w:rPr>
          <w:color w:val="000000" w:themeColor="text1"/>
          <w:u w:color="000000" w:themeColor="text1"/>
        </w:rPr>
        <w:t>THE GENERAL ASSEMBLY OR A COMMITTEE OF THE GENERAL ASSEMBLY MAY NOT AMEND OR OTHERWISE CHANGE A REGULATION UNDER GENERAL ASSEMBLY REVIEW; TO AMEND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120, AS AMENDED, RELATING TO THE APPROVAL OF PROPOSED REGULATIONS, SO AS TO REQUIRE THAT AN AMENDMENT RECEIVE AN AFFIRMATIVE VOTE OF THE GENERAL ASSEMBLY TO TAKE EFFECT AND DELETE THE PROVISION THAT ALLOWED A REGULATION TO TAKE EFFECT AFTER ONE HUNDRED TWENTY DAYS; TO AMEND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 xml:space="preserve">125, AS AMENDED, RELATING TO CERTAIN EVENTS THAT TOLL THE ONE HUNDRED TWENTY DAY PERIOD, SO AS TO MAKE CONFORMING CHANGES; </w:t>
      </w:r>
      <w:r>
        <w:rPr>
          <w:color w:val="000000" w:themeColor="text1"/>
          <w:u w:color="000000" w:themeColor="text1"/>
        </w:rPr>
        <w:t xml:space="preserve">AND </w:t>
      </w:r>
      <w:r w:rsidRPr="00CC0E72">
        <w:rPr>
          <w:color w:val="000000" w:themeColor="text1"/>
          <w:u w:color="000000" w:themeColor="text1"/>
        </w:rPr>
        <w:t>TO AMEND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115, RELATING TO CERTAIN EVENTS THAT TOLL THE ONE HUNDRED TWENTY DAY PERIOD, SO AS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1F8E" w:rsidRDefault="00C51F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1F8E" w:rsidRDefault="00C51F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CC0E72">
        <w:rPr>
          <w:color w:val="000000" w:themeColor="text1"/>
          <w:u w:color="000000" w:themeColor="text1"/>
        </w:rPr>
        <w:t>This act must be known as and may be cited as the “South Carolina Regulatory Reform Act”.</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2.</w:t>
      </w:r>
      <w:r w:rsidRPr="00CC0E72">
        <w:rPr>
          <w:color w:val="000000" w:themeColor="text1"/>
          <w:u w:color="000000" w:themeColor="text1"/>
        </w:rPr>
        <w:tab/>
        <w:t>Article 1, Chapter 23, Title 1</w:t>
      </w:r>
      <w:r>
        <w:rPr>
          <w:color w:val="000000" w:themeColor="text1"/>
          <w:u w:color="000000" w:themeColor="text1"/>
        </w:rPr>
        <w:t xml:space="preserve"> of the 1976 Code</w:t>
      </w:r>
      <w:r w:rsidRPr="00CC0E72">
        <w:rPr>
          <w:color w:val="000000" w:themeColor="text1"/>
          <w:u w:color="000000" w:themeColor="text1"/>
        </w:rPr>
        <w:t xml:space="preserve"> is amended by adding:</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122.</w:t>
      </w:r>
      <w:r w:rsidRPr="00CC0E72">
        <w:rPr>
          <w:color w:val="000000" w:themeColor="text1"/>
          <w:u w:color="000000" w:themeColor="text1"/>
        </w:rPr>
        <w:tab/>
        <w:t xml:space="preserve">Neither the General Assembly nor a committee of the General Assembly may amend or otherwise </w:t>
      </w:r>
      <w:r w:rsidRPr="00CC0E72">
        <w:rPr>
          <w:color w:val="000000" w:themeColor="text1"/>
          <w:u w:color="000000" w:themeColor="text1"/>
        </w:rPr>
        <w:lastRenderedPageBreak/>
        <w:t>change the language of a regulation submitted for General Assembly review, and only the agency that submitted the regulation may make these changes.”</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3.</w:t>
      </w:r>
      <w:r w:rsidRPr="00CC0E72">
        <w:rPr>
          <w:color w:val="000000" w:themeColor="text1"/>
          <w:u w:color="000000" w:themeColor="text1"/>
        </w:rPr>
        <w:tab/>
        <w:t>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120 of the 1976 Code, as last amended by Act 33 of 2011, is further amended to read: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All regulations except those specifically exempted pursuant to subsection (E) must be filed with Legislative Council for submission to the General Assembly for review in</w:t>
      </w:r>
      <w:r w:rsidR="00553AE1">
        <w:rPr>
          <w:color w:val="000000" w:themeColor="text1"/>
          <w:u w:color="000000" w:themeColor="text1"/>
        </w:rPr>
        <w:t xml:space="preserve"> accordance with this article; </w:t>
      </w:r>
      <w:r w:rsidRPr="00CC0E72">
        <w:rPr>
          <w:color w:val="000000" w:themeColor="text1"/>
          <w:u w:color="000000" w:themeColor="text1"/>
        </w:rPr>
        <w:t>however, a regulation must not be filed with Legislative Council for submission to the General Assembly more than one year after publication of the drafting notice initiating the regulation pursuant to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110, except those regulations requiring a final assessment report as provided in Sections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270 and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280.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(B)</w:t>
      </w:r>
      <w:r w:rsidRPr="00CC0E72">
        <w:rPr>
          <w:color w:val="000000" w:themeColor="text1"/>
          <w:u w:color="000000" w:themeColor="text1"/>
        </w:rPr>
        <w:tab/>
        <w:t>To initiate the process of review, the agency shall file with the Legislative Council for submission to the President of the Senate and the Speaker of the House of Represe</w:t>
      </w:r>
      <w:r w:rsidR="00553AE1">
        <w:rPr>
          <w:color w:val="000000" w:themeColor="text1"/>
          <w:u w:color="000000" w:themeColor="text1"/>
        </w:rPr>
        <w:t>ntatives a document containing:</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a copy </w:t>
      </w:r>
      <w:r w:rsidR="00553AE1">
        <w:rPr>
          <w:color w:val="000000" w:themeColor="text1"/>
          <w:u w:color="000000" w:themeColor="text1"/>
        </w:rPr>
        <w:t>of the regulations promulgated;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w:t>
      </w:r>
      <w:r w:rsidR="00553AE1">
        <w:rPr>
          <w:color w:val="000000" w:themeColor="text1"/>
          <w:u w:color="000000" w:themeColor="text1"/>
        </w:rPr>
        <w:t>to be added must be underlined;</w:t>
      </w:r>
    </w:p>
    <w:p w:rsidR="003B7463" w:rsidRPr="00CC0E72" w:rsidRDefault="00553AE1"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request for review;</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a brief synopsis of the regulations submitted, which explains the content and any changes in existing regulations resulting fr</w:t>
      </w:r>
      <w:r w:rsidR="00553AE1">
        <w:rPr>
          <w:color w:val="000000" w:themeColor="text1"/>
          <w:u w:color="000000" w:themeColor="text1"/>
        </w:rPr>
        <w:t>om the submitted regulations;</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(5)</w:t>
      </w:r>
      <w:r w:rsidRPr="00CC0E72">
        <w:rPr>
          <w:color w:val="000000" w:themeColor="text1"/>
          <w:u w:color="000000" w:themeColor="text1"/>
        </w:rPr>
        <w:tab/>
        <w:t>a copy of the final assessment report and the summary of the final report prepared by the division pursuant to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 xml:space="preserve">115. </w:t>
      </w:r>
      <w:r w:rsidRPr="00CC0E72">
        <w:rPr>
          <w:color w:val="000000" w:themeColor="text1"/>
          <w:u w:color="000000" w:themeColor="text1"/>
        </w:rPr>
        <w:t>A regulation that does not require an assessment report because the regulation does not have a substantial economic impact must inclu</w:t>
      </w:r>
      <w:r w:rsidR="00553AE1">
        <w:rPr>
          <w:color w:val="000000" w:themeColor="text1"/>
          <w:u w:color="000000" w:themeColor="text1"/>
        </w:rPr>
        <w:t xml:space="preserve">de a statement to that effect. </w:t>
      </w:r>
      <w:r w:rsidRPr="00CC0E72">
        <w:rPr>
          <w:color w:val="000000" w:themeColor="text1"/>
          <w:u w:color="000000" w:themeColor="text1"/>
        </w:rPr>
        <w:t>A regulation exempt from filing an assessment report pursuant to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115(E) must include a</w:t>
      </w:r>
      <w:r w:rsidR="00553AE1">
        <w:rPr>
          <w:color w:val="000000" w:themeColor="text1"/>
          <w:u w:color="000000" w:themeColor="text1"/>
        </w:rPr>
        <w:t>n explanation of the exemption;</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(6)</w:t>
      </w:r>
      <w:r w:rsidRPr="00CC0E72">
        <w:rPr>
          <w:color w:val="000000" w:themeColor="text1"/>
          <w:u w:color="000000" w:themeColor="text1"/>
        </w:rPr>
        <w:tab/>
        <w:t>a copy of the fiscal impact statement prepared by the agency as required by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110;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(7)</w:t>
      </w:r>
      <w:r w:rsidRPr="00CC0E72">
        <w:rPr>
          <w:color w:val="000000" w:themeColor="text1"/>
          <w:u w:color="000000" w:themeColor="text1"/>
        </w:rPr>
        <w:tab/>
        <w:t>a detailed statement of rationale which states the basis for the regulation, including the scientific or technical basis, if any, and identifies any studies, reports, policies, or statements of professional judgment or administrative need relied upo</w:t>
      </w:r>
      <w:r w:rsidR="00553AE1">
        <w:rPr>
          <w:color w:val="000000" w:themeColor="text1"/>
          <w:u w:color="000000" w:themeColor="text1"/>
        </w:rPr>
        <w:t>n in developing the regulation;</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(8)</w:t>
      </w:r>
      <w:r w:rsidRPr="00CC0E72">
        <w:rPr>
          <w:color w:val="000000" w:themeColor="text1"/>
          <w:u w:color="000000" w:themeColor="text1"/>
        </w:rPr>
        <w:tab/>
        <w:t>a copy of the economic impact statement, as provided in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270(C)(1)(a); and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(9)</w:t>
      </w:r>
      <w:r w:rsidRPr="00CC0E72">
        <w:rPr>
          <w:color w:val="000000" w:themeColor="text1"/>
          <w:u w:color="000000" w:themeColor="text1"/>
        </w:rPr>
        <w:tab/>
        <w:t>a copy of the regulatory flexibility analysis, as provided in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270(C)(1)(b).</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(C)</w:t>
      </w:r>
      <w:r w:rsidRPr="00CC0E72">
        <w:rPr>
          <w:color w:val="000000" w:themeColor="text1"/>
          <w:u w:color="000000" w:themeColor="text1"/>
        </w:rPr>
        <w:tab/>
        <w:t>Upon receipt of the regulation, the President and Speaker shall refer the regulation for review to the standing committees of the Senate and House which are most concerned with the functi</w:t>
      </w:r>
      <w:r w:rsidR="00553AE1">
        <w:rPr>
          <w:color w:val="000000" w:themeColor="text1"/>
          <w:u w:color="000000" w:themeColor="text1"/>
        </w:rPr>
        <w:t xml:space="preserve">on of the promulgating agency. </w:t>
      </w:r>
      <w:r w:rsidRPr="00CC0E72">
        <w:rPr>
          <w:color w:val="000000" w:themeColor="text1"/>
          <w:u w:color="000000" w:themeColor="text1"/>
        </w:rPr>
        <w:t xml:space="preserve">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w:t>
      </w:r>
      <w:r w:rsidRPr="00CC0E72">
        <w:rPr>
          <w:strike/>
          <w:color w:val="000000" w:themeColor="text1"/>
          <w:u w:color="000000" w:themeColor="text1"/>
        </w:rPr>
        <w:t>The committees to which regulations are referred have one hundred twenty days from the date regulations are submitted to the General Assembly to consider and tak</w:t>
      </w:r>
      <w:r w:rsidR="00553AE1">
        <w:rPr>
          <w:strike/>
          <w:color w:val="000000" w:themeColor="text1"/>
          <w:u w:color="000000" w:themeColor="text1"/>
        </w:rPr>
        <w:t xml:space="preserve">e action on these regulations. </w:t>
      </w:r>
      <w:r w:rsidRPr="00CC0E72">
        <w:rPr>
          <w:strike/>
          <w:color w:val="000000" w:themeColor="text1"/>
          <w:u w:color="000000" w:themeColor="text1"/>
        </w:rPr>
        <w:t>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(D)</w:t>
      </w:r>
      <w:r w:rsidRPr="00CC0E72">
        <w:rPr>
          <w:color w:val="000000" w:themeColor="text1"/>
          <w:u w:color="000000" w:themeColor="text1"/>
        </w:rPr>
        <w:tab/>
      </w:r>
      <w:r w:rsidRPr="00CC0E72">
        <w:rPr>
          <w:strike/>
          <w:color w:val="000000" w:themeColor="text1"/>
          <w:u w:color="000000" w:themeColor="text1"/>
        </w:rPr>
        <w:t>If a</w:t>
      </w:r>
      <w:r w:rsidRPr="00CC0E72">
        <w:rPr>
          <w:color w:val="000000" w:themeColor="text1"/>
          <w:u w:color="000000" w:themeColor="text1"/>
        </w:rPr>
        <w:t xml:space="preserve"> </w:t>
      </w:r>
      <w:r w:rsidRPr="00CC0E72">
        <w:rPr>
          <w:color w:val="000000" w:themeColor="text1"/>
          <w:u w:val="single" w:color="000000" w:themeColor="text1"/>
        </w:rPr>
        <w:t>A</w:t>
      </w:r>
      <w:r w:rsidRPr="00CC0E72">
        <w:rPr>
          <w:color w:val="000000" w:themeColor="text1"/>
          <w:u w:color="000000" w:themeColor="text1"/>
        </w:rPr>
        <w:t xml:space="preserve"> joint resolution to approve a regulation </w:t>
      </w:r>
      <w:r w:rsidRPr="00CC0E72">
        <w:rPr>
          <w:strike/>
          <w:color w:val="000000" w:themeColor="text1"/>
          <w:u w:color="000000" w:themeColor="text1"/>
        </w:rPr>
        <w:t>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w:t>
      </w:r>
      <w:r w:rsidRPr="00CC0E72">
        <w:rPr>
          <w:color w:val="000000" w:themeColor="text1"/>
          <w:u w:color="000000" w:themeColor="text1"/>
        </w:rPr>
        <w:t xml:space="preserve"> </w:t>
      </w:r>
      <w:r w:rsidRPr="00CC0E72">
        <w:rPr>
          <w:color w:val="000000" w:themeColor="text1"/>
          <w:u w:val="single" w:color="000000" w:themeColor="text1"/>
        </w:rPr>
        <w:t>must receive an affirmative vote from a majority of the members voting in each body</w:t>
      </w:r>
      <w:r w:rsidR="00553AE1">
        <w:rPr>
          <w:color w:val="000000" w:themeColor="text1"/>
          <w:u w:val="single" w:color="000000" w:themeColor="text1"/>
        </w:rPr>
        <w:t xml:space="preserve"> in order to become effective. </w:t>
      </w:r>
      <w:r w:rsidRPr="00CC0E72">
        <w:rPr>
          <w:color w:val="000000" w:themeColor="text1"/>
          <w:u w:val="single" w:color="000000" w:themeColor="text1"/>
        </w:rPr>
        <w:t>It is disapproved if it fails to receive these votes</w:t>
      </w:r>
      <w:r w:rsidRPr="00CC0E72">
        <w:rPr>
          <w:color w:val="000000" w:themeColor="text1"/>
          <w:u w:color="000000" w:themeColor="text1"/>
        </w:rPr>
        <w:t xml:space="preserve">. </w:t>
      </w:r>
      <w:r w:rsidRPr="00CC0E72">
        <w:rPr>
          <w:strike/>
          <w:color w:val="000000" w:themeColor="text1"/>
          <w:u w:color="000000" w:themeColor="text1"/>
        </w:rPr>
        <w:t>Upon introduction of the first joint resolution disapproving a regulation by a standing committee to which the regulation was referred for review, the one</w:t>
      </w:r>
      <w:r w:rsidR="009C3351">
        <w:rPr>
          <w:strike/>
          <w:color w:val="000000" w:themeColor="text1"/>
          <w:u w:color="000000" w:themeColor="text1"/>
        </w:rPr>
        <w:noBreakHyphen/>
      </w:r>
      <w:r w:rsidRPr="00CC0E72">
        <w:rPr>
          <w:strike/>
          <w:color w:val="000000" w:themeColor="text1"/>
          <w:u w:color="000000" w:themeColor="text1"/>
        </w:rPr>
        <w:t>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 xml:space="preserve">day </w:t>
      </w:r>
      <w:r w:rsidRPr="002701AC">
        <w:rPr>
          <w:strike/>
          <w:u w:color="000000" w:themeColor="text1"/>
        </w:rPr>
        <w:t>period for</w:t>
      </w:r>
      <w:r>
        <w:rPr>
          <w:strike/>
          <w:u w:color="000000" w:themeColor="text1"/>
        </w:rPr>
        <w:t xml:space="preserve"> automatic approval is tolled. </w:t>
      </w:r>
      <w:r w:rsidRPr="002701AC">
        <w:rPr>
          <w:strike/>
          <w:u w:color="000000" w:themeColor="text1"/>
        </w:rPr>
        <w:t>A regulation may not be filed under the emergency provisions of Section 1</w:t>
      </w:r>
      <w:r w:rsidR="009C3351">
        <w:rPr>
          <w:strike/>
          <w:u w:color="000000" w:themeColor="text1"/>
        </w:rPr>
        <w:noBreakHyphen/>
      </w:r>
      <w:r w:rsidRPr="002701AC">
        <w:rPr>
          <w:strike/>
          <w:u w:color="000000" w:themeColor="text1"/>
        </w:rPr>
        <w:t>23</w:t>
      </w:r>
      <w:r w:rsidR="009C3351">
        <w:rPr>
          <w:strike/>
          <w:u w:color="000000" w:themeColor="text1"/>
        </w:rPr>
        <w:noBreakHyphen/>
      </w:r>
      <w:r w:rsidRPr="002701AC">
        <w:rPr>
          <w:strike/>
          <w:u w:color="000000" w:themeColor="text1"/>
        </w:rPr>
        <w:t>130 if a joint resolution to disapprove the regulation has been introduced by a standing committee to which the regulation was referred.</w:t>
      </w:r>
      <w:r w:rsidRPr="002701AC">
        <w:rPr>
          <w:u w:color="000000" w:themeColor="text1"/>
        </w:rPr>
        <w:t xml:space="preserve"> </w:t>
      </w:r>
      <w:r w:rsidRPr="002701AC">
        <w:rPr>
          <w:snapToGrid w:val="0"/>
          <w:u w:val="single"/>
        </w:rPr>
        <w:t>If a joint resolution to approve a regulation receives a negative vote from a majority of the members voting in either body, that regulation must not subsequently be filed under the emergency provisions of Section 1</w:t>
      </w:r>
      <w:r w:rsidR="009C3351">
        <w:rPr>
          <w:snapToGrid w:val="0"/>
          <w:u w:val="single"/>
        </w:rPr>
        <w:noBreakHyphen/>
      </w:r>
      <w:r w:rsidRPr="002701AC">
        <w:rPr>
          <w:snapToGrid w:val="0"/>
          <w:u w:val="single"/>
        </w:rPr>
        <w:t>23</w:t>
      </w:r>
      <w:r w:rsidR="009C3351">
        <w:rPr>
          <w:snapToGrid w:val="0"/>
          <w:u w:val="single"/>
        </w:rPr>
        <w:noBreakHyphen/>
      </w:r>
      <w:r w:rsidRPr="002701AC">
        <w:rPr>
          <w:snapToGrid w:val="0"/>
          <w:u w:val="single"/>
        </w:rPr>
        <w:t>130.</w:t>
      </w:r>
      <w:r>
        <w:rPr>
          <w:snapToGrid w:val="0"/>
        </w:rPr>
        <w:t xml:space="preserve"> </w:t>
      </w:r>
      <w:r w:rsidRPr="002701AC">
        <w:rPr>
          <w:strike/>
          <w:u w:color="000000" w:themeColor="text1"/>
        </w:rPr>
        <w:t>Upon a negative vote by either the</w:t>
      </w:r>
      <w:r>
        <w:rPr>
          <w:strike/>
          <w:u w:color="000000" w:themeColor="text1"/>
        </w:rPr>
        <w:t xml:space="preserve"> </w:t>
      </w:r>
      <w:r w:rsidRPr="00CC0E72">
        <w:rPr>
          <w:strike/>
          <w:color w:val="000000" w:themeColor="text1"/>
          <w:u w:color="000000" w:themeColor="text1"/>
        </w:rPr>
        <w:t>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w:t>
      </w:r>
      <w:r w:rsidR="0071194A">
        <w:rPr>
          <w:strike/>
          <w:color w:val="000000" w:themeColor="text1"/>
          <w:u w:color="000000" w:themeColor="text1"/>
        </w:rPr>
        <w:t xml:space="preserve">r of the period begins to run. </w:t>
      </w:r>
      <w:r w:rsidRPr="00CC0E72">
        <w:rPr>
          <w:strike/>
          <w:color w:val="000000" w:themeColor="text1"/>
          <w:u w:color="000000" w:themeColor="text1"/>
        </w:rPr>
        <w:t>If the remainder of the period is less than ninety days, additional days must be added to the re</w:t>
      </w:r>
      <w:r w:rsidR="0071194A">
        <w:rPr>
          <w:strike/>
          <w:color w:val="000000" w:themeColor="text1"/>
          <w:u w:color="000000" w:themeColor="text1"/>
        </w:rPr>
        <w:t xml:space="preserve">mainder to equal ninety days. </w:t>
      </w:r>
      <w:r w:rsidRPr="00CC0E72">
        <w:rPr>
          <w:strike/>
          <w:color w:val="000000" w:themeColor="text1"/>
          <w:u w:color="000000" w:themeColor="text1"/>
        </w:rPr>
        <w:t>The introduction of a joint resolution by the committee of either house does not prevent the introduction of a joint resolution by the committee of the other house to either approve or disapprove the regulations concerned.</w:t>
      </w:r>
      <w:r w:rsidR="0071194A">
        <w:rPr>
          <w:color w:val="000000" w:themeColor="text1"/>
          <w:u w:color="000000" w:themeColor="text1"/>
        </w:rPr>
        <w:t xml:space="preserve"> </w:t>
      </w:r>
      <w:r w:rsidRPr="00CC0E72">
        <w:rPr>
          <w:color w:val="000000" w:themeColor="text1"/>
          <w:u w:color="000000" w:themeColor="text1"/>
        </w:rPr>
        <w:t xml:space="preserve">A joint resolution approving </w:t>
      </w:r>
      <w:r w:rsidRPr="00CC0E72">
        <w:rPr>
          <w:strike/>
          <w:color w:val="000000" w:themeColor="text1"/>
          <w:u w:color="000000" w:themeColor="text1"/>
        </w:rPr>
        <w:t>or disapproving</w:t>
      </w:r>
      <w:r w:rsidRPr="00CC0E72">
        <w:rPr>
          <w:color w:val="000000" w:themeColor="text1"/>
          <w:u w:color="000000" w:themeColor="text1"/>
        </w:rPr>
        <w:t xml:space="preserve"> a regulation m</w:t>
      </w:r>
      <w:r w:rsidR="00553AE1">
        <w:rPr>
          <w:color w:val="000000" w:themeColor="text1"/>
          <w:u w:color="000000" w:themeColor="text1"/>
        </w:rPr>
        <w:t>ust include:</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the synopsis of the regulation as</w:t>
      </w:r>
      <w:r w:rsidR="00553AE1">
        <w:rPr>
          <w:color w:val="000000" w:themeColor="text1"/>
          <w:u w:color="000000" w:themeColor="text1"/>
        </w:rPr>
        <w:t xml:space="preserve"> required by subsection (B)(4);</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the summary of the final assessment report prepared by the division pursuant to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115 or, as required by subsection (B)(5), the statement or explanation that an assessment repor</w:t>
      </w:r>
      <w:r w:rsidR="00553AE1">
        <w:rPr>
          <w:color w:val="000000" w:themeColor="text1"/>
          <w:u w:color="000000" w:themeColor="text1"/>
        </w:rPr>
        <w:t>t is not required or is exempt.</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(E)</w:t>
      </w:r>
      <w:r w:rsidRPr="00CC0E72">
        <w:rPr>
          <w:color w:val="000000" w:themeColor="text1"/>
          <w:u w:color="000000" w:themeColor="text1"/>
        </w:rPr>
        <w:tab/>
      </w:r>
      <w:r w:rsidRPr="00CC0E72">
        <w:rPr>
          <w:strike/>
          <w:color w:val="000000" w:themeColor="text1"/>
          <w:u w:color="000000" w:themeColor="text1"/>
        </w:rPr>
        <w:t>The one</w:t>
      </w:r>
      <w:r w:rsidR="009C3351">
        <w:rPr>
          <w:strike/>
          <w:color w:val="000000" w:themeColor="text1"/>
          <w:u w:color="000000" w:themeColor="text1"/>
        </w:rPr>
        <w:noBreakHyphen/>
      </w:r>
      <w:r w:rsidRPr="00CC0E72">
        <w:rPr>
          <w:strike/>
          <w:color w:val="000000" w:themeColor="text1"/>
          <w:u w:color="000000" w:themeColor="text1"/>
        </w:rPr>
        <w:t>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w:t>
      </w:r>
      <w:r w:rsidR="00553AE1">
        <w:rPr>
          <w:strike/>
          <w:color w:val="000000" w:themeColor="text1"/>
          <w:u w:color="000000" w:themeColor="text1"/>
        </w:rPr>
        <w:t>essions called by the Governor.</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(F)</w:t>
      </w:r>
      <w:r w:rsidRPr="00CC0E72">
        <w:rPr>
          <w:color w:val="000000" w:themeColor="text1"/>
          <w:u w:color="000000" w:themeColor="text1"/>
        </w:rPr>
        <w:tab/>
      </w:r>
      <w:r w:rsidRPr="00CC0E72">
        <w:rPr>
          <w:strike/>
          <w:color w:val="000000" w:themeColor="text1"/>
          <w:u w:color="000000" w:themeColor="text1"/>
        </w:rPr>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9C3351">
        <w:rPr>
          <w:strike/>
          <w:color w:val="000000" w:themeColor="text1"/>
          <w:u w:color="000000" w:themeColor="text1"/>
        </w:rPr>
        <w:noBreakHyphen/>
      </w:r>
      <w:r w:rsidRPr="00CC0E72">
        <w:rPr>
          <w:strike/>
          <w:color w:val="000000" w:themeColor="text1"/>
          <w:u w:color="000000" w:themeColor="text1"/>
        </w:rPr>
        <w:t>23</w:t>
      </w:r>
      <w:r w:rsidR="009C3351">
        <w:rPr>
          <w:strike/>
          <w:color w:val="000000" w:themeColor="text1"/>
          <w:u w:color="000000" w:themeColor="text1"/>
        </w:rPr>
        <w:noBreakHyphen/>
      </w:r>
      <w:r w:rsidRPr="00CC0E72">
        <w:rPr>
          <w:strike/>
          <w:color w:val="000000" w:themeColor="text1"/>
          <w:u w:color="000000" w:themeColor="text1"/>
        </w:rPr>
        <w:t>125, but the introduction does not toll the one</w:t>
      </w:r>
      <w:r w:rsidR="009C3351">
        <w:rPr>
          <w:strike/>
          <w:color w:val="000000" w:themeColor="text1"/>
          <w:u w:color="000000" w:themeColor="text1"/>
        </w:rPr>
        <w:noBreakHyphen/>
      </w:r>
      <w:r w:rsidRPr="00CC0E72">
        <w:rPr>
          <w:strike/>
          <w:color w:val="000000" w:themeColor="text1"/>
          <w:u w:color="000000" w:themeColor="text1"/>
        </w:rPr>
        <w:t>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da</w:t>
      </w:r>
      <w:r w:rsidR="00553AE1">
        <w:rPr>
          <w:strike/>
          <w:color w:val="000000" w:themeColor="text1"/>
          <w:u w:color="000000" w:themeColor="text1"/>
        </w:rPr>
        <w:t>y period of automatic approval.</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(G)</w:t>
      </w:r>
      <w:r w:rsidRPr="00CC0E72">
        <w:rPr>
          <w:color w:val="000000" w:themeColor="text1"/>
          <w:u w:color="000000" w:themeColor="text1"/>
        </w:rPr>
        <w:tab/>
      </w:r>
      <w:r w:rsidRPr="00CC0E72">
        <w:rPr>
          <w:strike/>
          <w:color w:val="000000" w:themeColor="text1"/>
          <w:u w:color="000000" w:themeColor="text1"/>
        </w:rPr>
        <w:t>A regulation is deemed withdrawn if it has not become effective, as provided in this article, by the date of publication of the next State Register published after the end of the two</w:t>
      </w:r>
      <w:r w:rsidR="009C3351">
        <w:rPr>
          <w:strike/>
          <w:color w:val="000000" w:themeColor="text1"/>
          <w:u w:color="000000" w:themeColor="text1"/>
        </w:rPr>
        <w:noBreakHyphen/>
      </w:r>
      <w:r w:rsidRPr="00CC0E72">
        <w:rPr>
          <w:strike/>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9C3351">
        <w:rPr>
          <w:strike/>
          <w:color w:val="000000" w:themeColor="text1"/>
          <w:u w:color="000000" w:themeColor="text1"/>
        </w:rPr>
        <w:noBreakHyphen/>
      </w:r>
      <w:r w:rsidRPr="00CC0E72">
        <w:rPr>
          <w:strike/>
          <w:color w:val="000000" w:themeColor="text1"/>
          <w:u w:color="000000" w:themeColor="text1"/>
        </w:rPr>
        <w:t>23</w:t>
      </w:r>
      <w:r w:rsidR="009C3351">
        <w:rPr>
          <w:strike/>
          <w:color w:val="000000" w:themeColor="text1"/>
          <w:u w:color="000000" w:themeColor="text1"/>
        </w:rPr>
        <w:noBreakHyphen/>
      </w:r>
      <w:r w:rsidRPr="00CC0E72">
        <w:rPr>
          <w:strike/>
          <w:color w:val="000000" w:themeColor="text1"/>
          <w:u w:color="000000" w:themeColor="text1"/>
        </w:rPr>
        <w:t>110, 1</w:t>
      </w:r>
      <w:r w:rsidR="009C3351">
        <w:rPr>
          <w:strike/>
          <w:color w:val="000000" w:themeColor="text1"/>
          <w:u w:color="000000" w:themeColor="text1"/>
        </w:rPr>
        <w:noBreakHyphen/>
      </w:r>
      <w:r w:rsidRPr="00CC0E72">
        <w:rPr>
          <w:strike/>
          <w:color w:val="000000" w:themeColor="text1"/>
          <w:u w:color="000000" w:themeColor="text1"/>
        </w:rPr>
        <w:t>23</w:t>
      </w:r>
      <w:r w:rsidR="009C3351">
        <w:rPr>
          <w:strike/>
          <w:color w:val="000000" w:themeColor="text1"/>
          <w:u w:color="000000" w:themeColor="text1"/>
        </w:rPr>
        <w:noBreakHyphen/>
      </w:r>
      <w:r w:rsidRPr="00CC0E72">
        <w:rPr>
          <w:strike/>
          <w:color w:val="000000" w:themeColor="text1"/>
          <w:u w:color="000000" w:themeColor="text1"/>
        </w:rPr>
        <w:t>111, or 1</w:t>
      </w:r>
      <w:r w:rsidR="009C3351">
        <w:rPr>
          <w:strike/>
          <w:color w:val="000000" w:themeColor="text1"/>
          <w:u w:color="000000" w:themeColor="text1"/>
        </w:rPr>
        <w:noBreakHyphen/>
      </w:r>
      <w:r w:rsidRPr="00CC0E72">
        <w:rPr>
          <w:strike/>
          <w:color w:val="000000" w:themeColor="text1"/>
          <w:u w:color="000000" w:themeColor="text1"/>
        </w:rPr>
        <w:t>23</w:t>
      </w:r>
      <w:r w:rsidR="009C3351">
        <w:rPr>
          <w:strike/>
          <w:color w:val="000000" w:themeColor="text1"/>
          <w:u w:color="000000" w:themeColor="text1"/>
        </w:rPr>
        <w:noBreakHyphen/>
      </w:r>
      <w:r w:rsidRPr="00CC0E72">
        <w:rPr>
          <w:strike/>
          <w:color w:val="000000" w:themeColor="text1"/>
          <w:u w:color="000000" w:themeColor="text1"/>
        </w:rPr>
        <w:t>115 if the resubmitted regulation contains no substantive changes for the previously submitted version.</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(H)</w:t>
      </w:r>
      <w:r w:rsidRPr="00CC0E72">
        <w:rPr>
          <w:color w:val="000000" w:themeColor="text1"/>
          <w:u w:val="single" w:color="000000" w:themeColor="text1"/>
        </w:rPr>
        <w:t>(E)</w:t>
      </w:r>
      <w:r w:rsidRPr="00CC0E72">
        <w:rPr>
          <w:color w:val="000000" w:themeColor="text1"/>
          <w:u w:color="000000" w:themeColor="text1"/>
        </w:rPr>
        <w:tab/>
        <w:t>General Assembly review is not requir</w:t>
      </w:r>
      <w:r w:rsidR="00553AE1">
        <w:rPr>
          <w:color w:val="000000" w:themeColor="text1"/>
          <w:u w:color="000000" w:themeColor="text1"/>
        </w:rPr>
        <w:t>ed for regulations promulgated: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to maintain compliance with federal law including, but not limited to, grant programs;  however, the synopsis of the regulation required to be submitted by subsection (B)(4) must include citations to federal law, if any, mandating the promulgation of or changes in the regulat</w:t>
      </w:r>
      <w:r w:rsidR="00553AE1">
        <w:rPr>
          <w:color w:val="000000" w:themeColor="text1"/>
          <w:u w:color="000000" w:themeColor="text1"/>
        </w:rPr>
        <w:t xml:space="preserve">ion justifying this exemption. </w:t>
      </w:r>
      <w:r w:rsidRPr="00CC0E72">
        <w:rPr>
          <w:color w:val="000000" w:themeColor="text1"/>
          <w:u w:color="000000" w:themeColor="text1"/>
        </w:rPr>
        <w:t xml:space="preserve">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w:t>
      </w:r>
      <w:r w:rsidR="00553AE1">
        <w:rPr>
          <w:color w:val="000000" w:themeColor="text1"/>
          <w:u w:color="000000" w:themeColor="text1"/>
        </w:rPr>
        <w:t xml:space="preserve">regulation is deemed repealed. </w:t>
      </w:r>
      <w:r w:rsidRPr="00CC0E72">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w:t>
      </w:r>
      <w:r w:rsidR="00553AE1">
        <w:rPr>
          <w:color w:val="000000" w:themeColor="text1"/>
          <w:u w:color="000000" w:themeColor="text1"/>
        </w:rPr>
        <w:t xml:space="preserve"> effective as a matter of law. </w:t>
      </w:r>
      <w:r w:rsidRPr="00CC0E72">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w:t>
      </w:r>
      <w:r w:rsidR="00553AE1">
        <w:rPr>
          <w:color w:val="000000" w:themeColor="text1"/>
          <w:u w:color="000000" w:themeColor="text1"/>
        </w:rPr>
        <w:t xml:space="preserve">, if any, which is reinstated. </w:t>
      </w:r>
      <w:r w:rsidRPr="00CC0E72">
        <w:rPr>
          <w:color w:val="000000" w:themeColor="text1"/>
          <w:u w:color="000000" w:themeColor="text1"/>
        </w:rPr>
        <w:t>The agency may promulgate additional amendments to the regulation by complying with the applicabl</w:t>
      </w:r>
      <w:r w:rsidR="00553AE1">
        <w:rPr>
          <w:color w:val="000000" w:themeColor="text1"/>
          <w:u w:color="000000" w:themeColor="text1"/>
        </w:rPr>
        <w:t>e requirements of this chapter;</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by the state Board of Financial Institutions in order to authorize state</w:t>
      </w:r>
      <w:r w:rsidR="009C3351">
        <w:rPr>
          <w:color w:val="000000" w:themeColor="text1"/>
          <w:u w:color="000000" w:themeColor="text1"/>
        </w:rPr>
        <w:noBreakHyphen/>
      </w:r>
      <w:r w:rsidRPr="00CC0E72">
        <w:rPr>
          <w:color w:val="000000" w:themeColor="text1"/>
          <w:u w:color="000000" w:themeColor="text1"/>
        </w:rPr>
        <w:t>chartered banks, state</w:t>
      </w:r>
      <w:r w:rsidR="009C3351">
        <w:rPr>
          <w:color w:val="000000" w:themeColor="text1"/>
          <w:u w:color="000000" w:themeColor="text1"/>
        </w:rPr>
        <w:noBreakHyphen/>
      </w:r>
      <w:r w:rsidRPr="00CC0E72">
        <w:rPr>
          <w:color w:val="000000" w:themeColor="text1"/>
          <w:u w:color="000000" w:themeColor="text1"/>
        </w:rPr>
        <w:t>chartered savings and loan associations, and state</w:t>
      </w:r>
      <w:r w:rsidR="009C3351">
        <w:rPr>
          <w:color w:val="000000" w:themeColor="text1"/>
          <w:u w:color="000000" w:themeColor="text1"/>
        </w:rPr>
        <w:noBreakHyphen/>
      </w:r>
      <w:r w:rsidRPr="00CC0E72">
        <w:rPr>
          <w:color w:val="000000" w:themeColor="text1"/>
          <w:u w:color="000000" w:themeColor="text1"/>
        </w:rPr>
        <w:t>chartered credit unions to engage in activities that are authorized pursuant to Section 34</w:t>
      </w:r>
      <w:r w:rsidR="009C3351">
        <w:rPr>
          <w:color w:val="000000" w:themeColor="text1"/>
          <w:u w:color="000000" w:themeColor="text1"/>
        </w:rPr>
        <w:noBreakHyphen/>
      </w:r>
      <w:r w:rsidRPr="00CC0E72">
        <w:rPr>
          <w:color w:val="000000" w:themeColor="text1"/>
          <w:u w:color="000000" w:themeColor="text1"/>
        </w:rPr>
        <w:t>1</w:t>
      </w:r>
      <w:r w:rsidR="009C3351">
        <w:rPr>
          <w:color w:val="000000" w:themeColor="text1"/>
          <w:u w:color="000000" w:themeColor="text1"/>
        </w:rPr>
        <w:noBreakHyphen/>
      </w:r>
      <w:r w:rsidR="00553AE1">
        <w:rPr>
          <w:color w:val="000000" w:themeColor="text1"/>
          <w:u w:color="000000" w:themeColor="text1"/>
        </w:rPr>
        <w:t>110;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sidR="009C3351">
        <w:rPr>
          <w:color w:val="000000" w:themeColor="text1"/>
          <w:u w:color="000000" w:themeColor="text1"/>
        </w:rPr>
        <w:noBreakHyphen/>
      </w:r>
      <w:r w:rsidRPr="00CC0E72">
        <w:rPr>
          <w:color w:val="000000" w:themeColor="text1"/>
          <w:u w:color="000000" w:themeColor="text1"/>
        </w:rPr>
        <w:t>6</w:t>
      </w:r>
      <w:r w:rsidR="009C3351">
        <w:rPr>
          <w:color w:val="000000" w:themeColor="text1"/>
          <w:u w:color="000000" w:themeColor="text1"/>
        </w:rPr>
        <w:noBreakHyphen/>
      </w:r>
      <w:r w:rsidR="00553AE1">
        <w:rPr>
          <w:color w:val="000000" w:themeColor="text1"/>
          <w:u w:color="000000" w:themeColor="text1"/>
        </w:rPr>
        <w:t>40;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as emergency regulations under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130.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(I)</w:t>
      </w:r>
      <w:r w:rsidRPr="00CC0E72">
        <w:rPr>
          <w:color w:val="000000" w:themeColor="text1"/>
          <w:u w:color="000000" w:themeColor="text1"/>
        </w:rPr>
        <w:tab/>
      </w:r>
      <w:r w:rsidRPr="00CC0E72">
        <w:rPr>
          <w:strike/>
          <w:color w:val="000000" w:themeColor="text1"/>
          <w:u w:color="000000" w:themeColor="text1"/>
        </w:rPr>
        <w:t xml:space="preserve">For purposes of this section, only those calendar days occurring during a session of the General Assembly, excluding special sessions, are included in </w:t>
      </w:r>
      <w:r w:rsidR="00553AE1">
        <w:rPr>
          <w:strike/>
          <w:color w:val="000000" w:themeColor="text1"/>
          <w:u w:color="000000" w:themeColor="text1"/>
        </w:rPr>
        <w:t>computing the days elapsed.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(J)</w:t>
      </w:r>
      <w:r w:rsidRPr="00CC0E72">
        <w:rPr>
          <w:color w:val="000000" w:themeColor="text1"/>
          <w:u w:val="single" w:color="000000" w:themeColor="text1"/>
        </w:rPr>
        <w:t>(F)</w:t>
      </w:r>
      <w:r w:rsidRPr="00CC0E72">
        <w:rPr>
          <w:color w:val="000000" w:themeColor="text1"/>
          <w:u w:color="000000" w:themeColor="text1"/>
        </w:rPr>
        <w:tab/>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w:t>
      </w:r>
      <w:r w:rsidRPr="00CC0E72">
        <w:rPr>
          <w:strike/>
          <w:color w:val="000000" w:themeColor="text1"/>
          <w:u w:color="000000" w:themeColor="text1"/>
        </w:rPr>
        <w:t>(H)</w:t>
      </w:r>
      <w:r w:rsidRPr="00F92BAD">
        <w:rPr>
          <w:color w:val="000000" w:themeColor="text1"/>
          <w:u w:val="single"/>
        </w:rPr>
        <w:t>(E)</w:t>
      </w:r>
      <w:r w:rsidRPr="00CC0E72">
        <w:rPr>
          <w:color w:val="000000" w:themeColor="text1"/>
          <w:u w:color="000000" w:themeColor="text1"/>
        </w:rPr>
        <w:t xml:space="preserve"> </w:t>
      </w:r>
      <w:r w:rsidR="00553AE1">
        <w:rPr>
          <w:color w:val="000000" w:themeColor="text1"/>
          <w:u w:color="000000" w:themeColor="text1"/>
        </w:rPr>
        <w:t>are not subject to this review.</w:t>
      </w:r>
      <w:r w:rsidRPr="00CC0E72">
        <w:rPr>
          <w:color w:val="000000" w:themeColor="text1"/>
          <w:u w:color="000000" w:themeColor="text1"/>
        </w:rPr>
        <w:t xml:space="preserve"> Upon completion of the review, the agency shall submit to the Code Commissioner a report whic</w:t>
      </w:r>
      <w:r w:rsidR="00553AE1">
        <w:rPr>
          <w:color w:val="000000" w:themeColor="text1"/>
          <w:u w:color="000000" w:themeColor="text1"/>
        </w:rPr>
        <w:t>h identifies those regulations:</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for which the agency intends to begin the process of repeal i</w:t>
      </w:r>
      <w:r w:rsidR="00553AE1">
        <w:rPr>
          <w:color w:val="000000" w:themeColor="text1"/>
          <w:u w:color="000000" w:themeColor="text1"/>
        </w:rPr>
        <w:t>n accordance with this article;</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for which the agency intends to begin the process of amendment in accordanc</w:t>
      </w:r>
      <w:r w:rsidR="00553AE1">
        <w:rPr>
          <w:color w:val="000000" w:themeColor="text1"/>
          <w:u w:color="000000" w:themeColor="text1"/>
        </w:rPr>
        <w:t>e with this article; and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Pr>
          <w:color w:val="000000" w:themeColor="text1"/>
          <w:u w:color="000000" w:themeColor="text1"/>
        </w:rPr>
        <w:tab/>
      </w:r>
      <w:r w:rsidRPr="00CC0E72">
        <w:rPr>
          <w:color w:val="000000" w:themeColor="text1"/>
          <w:u w:color="000000" w:themeColor="text1"/>
        </w:rPr>
        <w:t>(3)</w:t>
      </w:r>
      <w:r w:rsidRPr="00CC0E72">
        <w:rPr>
          <w:color w:val="000000" w:themeColor="text1"/>
          <w:u w:color="000000" w:themeColor="text1"/>
        </w:rPr>
        <w:tab/>
        <w:t>which do n</w:t>
      </w:r>
      <w:r w:rsidR="00553AE1">
        <w:rPr>
          <w:color w:val="000000" w:themeColor="text1"/>
          <w:u w:color="000000" w:themeColor="text1"/>
        </w:rPr>
        <w:t>ot require repeal or amendment.</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Nothing in this subsection may be construed to prevent an agency from repealing or amending a regulation in accordance with this article before or after it is identified in the report to the Code Commissioner.</w:t>
      </w:r>
      <w:r w:rsidR="00553AE1">
        <w:rPr>
          <w:color w:val="000000" w:themeColor="text1"/>
          <w:u w:color="000000" w:themeColor="text1"/>
        </w:rPr>
        <w:t>”</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4.</w:t>
      </w:r>
      <w:r w:rsidRPr="00CC0E72">
        <w:rPr>
          <w:color w:val="000000" w:themeColor="text1"/>
          <w:u w:color="000000" w:themeColor="text1"/>
        </w:rPr>
        <w:tab/>
        <w:t>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Pr>
          <w:color w:val="000000" w:themeColor="text1"/>
          <w:u w:color="000000" w:themeColor="text1"/>
        </w:rPr>
        <w:t xml:space="preserve">125 </w:t>
      </w:r>
      <w:r w:rsidRPr="00CC0E72">
        <w:rPr>
          <w:color w:val="000000" w:themeColor="text1"/>
          <w:u w:color="000000" w:themeColor="text1"/>
        </w:rPr>
        <w:t>of the 1976 Code</w:t>
      </w:r>
      <w:r>
        <w:rPr>
          <w:color w:val="000000" w:themeColor="text1"/>
          <w:u w:color="000000" w:themeColor="text1"/>
        </w:rPr>
        <w:t>, as last amended by Act 104 of 2007,</w:t>
      </w:r>
      <w:r w:rsidRPr="00CC0E72">
        <w:rPr>
          <w:color w:val="000000" w:themeColor="text1"/>
          <w:u w:color="000000" w:themeColor="text1"/>
        </w:rPr>
        <w:t xml:space="preserve"> is </w:t>
      </w:r>
      <w:r>
        <w:rPr>
          <w:color w:val="000000" w:themeColor="text1"/>
          <w:u w:color="000000" w:themeColor="text1"/>
        </w:rPr>
        <w:t xml:space="preserve">further </w:t>
      </w:r>
      <w:r w:rsidRPr="00CC0E72">
        <w:rPr>
          <w:color w:val="000000" w:themeColor="text1"/>
          <w:u w:color="000000" w:themeColor="text1"/>
        </w:rPr>
        <w:t>amended to read: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C0E72">
        <w:rPr>
          <w:color w:val="000000" w:themeColor="text1"/>
          <w:u w:color="000000" w:themeColor="text1"/>
        </w:rPr>
        <w:tab/>
        <w:t>“</w:t>
      </w:r>
      <w:r>
        <w:rPr>
          <w:color w:val="000000"/>
        </w:rPr>
        <w:t>(A)</w:t>
      </w:r>
      <w:r>
        <w:rPr>
          <w:color w:val="000000"/>
        </w:rPr>
        <w:tab/>
      </w:r>
      <w:r w:rsidRPr="00657453">
        <w:rPr>
          <w:color w:val="000000"/>
        </w:rPr>
        <w:t>The legislative committee to which a regulation is submitted is not authorized to amend a particular regulation and then introduce a joint resolution approv</w:t>
      </w:r>
      <w:r>
        <w:rPr>
          <w:color w:val="000000"/>
        </w:rPr>
        <w:t xml:space="preserve">ing the regulation as amended; </w:t>
      </w:r>
      <w:r w:rsidRPr="00657453">
        <w:rPr>
          <w:color w:val="000000"/>
        </w:rPr>
        <w:t>however, this provision does not prevent the introduction of a resolution disapproving one or more of a group of regulations submitted to the committee and approving others submitted at the same time or deleting a clearly separable portion of a single regulation and approving the balance of the regulati</w:t>
      </w:r>
      <w:r w:rsidR="0071194A">
        <w:rPr>
          <w:color w:val="000000"/>
        </w:rPr>
        <w:t>on in the committee resolution.</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657453">
        <w:rPr>
          <w:color w:val="000000"/>
        </w:rPr>
        <w:t>If a majority of a committee determines that it cannot approve a regulation in the form submitted, it shall notify the promulgating agency in writing along with its recommendations as to changes that would be necessary to obtain commi</w:t>
      </w:r>
      <w:r w:rsidR="00553AE1">
        <w:rPr>
          <w:color w:val="000000"/>
        </w:rPr>
        <w:t>ttee approval. The agency may:</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657453">
        <w:rPr>
          <w:color w:val="000000"/>
        </w:rPr>
        <w:t>withdraw the regulation from the General Assembly and resubmit it with the recommended changes to the Speaker and the Lieutenant Governor, but any regulation not resubmitted within thirty days is co</w:t>
      </w:r>
      <w:r w:rsidR="00553AE1">
        <w:rPr>
          <w:color w:val="000000"/>
        </w:rPr>
        <w:t>nsidered permanently withdrawn;</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657453">
        <w:rPr>
          <w:color w:val="000000"/>
        </w:rPr>
        <w:t>withd</w:t>
      </w:r>
      <w:r w:rsidR="00553AE1">
        <w:rPr>
          <w:color w:val="000000"/>
        </w:rPr>
        <w:t>raw the regulation permanently;</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657453">
        <w:rPr>
          <w:color w:val="000000"/>
        </w:rPr>
        <w:t>take no action and abide by whatever action is taken or not taken by the General Assemb</w:t>
      </w:r>
      <w:r w:rsidR="00553AE1">
        <w:rPr>
          <w:color w:val="000000"/>
        </w:rPr>
        <w:t>ly on the regulation concerned.</w:t>
      </w:r>
    </w:p>
    <w:p w:rsidR="003B7463" w:rsidRPr="00A57E2A"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657453">
        <w:rPr>
          <w:color w:val="000000"/>
        </w:rPr>
        <w:tab/>
      </w:r>
      <w:r>
        <w:rPr>
          <w:strike/>
          <w:color w:val="000000"/>
        </w:rPr>
        <w:t>(C)</w:t>
      </w:r>
      <w:r w:rsidRPr="001A1AF5">
        <w:rPr>
          <w:color w:val="000000"/>
        </w:rPr>
        <w:tab/>
      </w:r>
      <w:r w:rsidRPr="00A57E2A">
        <w:rPr>
          <w:strike/>
          <w:color w:val="000000"/>
        </w:rPr>
        <w:t>The notification tolls the one</w:t>
      </w:r>
      <w:r w:rsidR="009C3351">
        <w:rPr>
          <w:strike/>
          <w:color w:val="000000"/>
        </w:rPr>
        <w:noBreakHyphen/>
      </w:r>
      <w:r w:rsidRPr="00A57E2A">
        <w:rPr>
          <w:strike/>
          <w:color w:val="000000"/>
        </w:rPr>
        <w:t>hundred</w:t>
      </w:r>
      <w:r w:rsidR="009C3351">
        <w:rPr>
          <w:strike/>
          <w:color w:val="000000"/>
        </w:rPr>
        <w:noBreakHyphen/>
      </w:r>
      <w:r w:rsidRPr="00A57E2A">
        <w:rPr>
          <w:strike/>
          <w:color w:val="000000"/>
        </w:rPr>
        <w:t>twenty</w:t>
      </w:r>
      <w:r w:rsidR="009C3351">
        <w:rPr>
          <w:strike/>
          <w:color w:val="000000"/>
        </w:rPr>
        <w:noBreakHyphen/>
      </w:r>
      <w:r w:rsidRPr="00A57E2A">
        <w:rPr>
          <w:strike/>
          <w:color w:val="000000"/>
        </w:rPr>
        <w:t>day period for automatic approval, and when an agency withdraws regulations from the General Assembly prior to the time a committee resolution to approve or disapprove the regulation has been introduced, the remainder of the period begins to run only on the date the regulations are resubm</w:t>
      </w:r>
      <w:r w:rsidR="00553AE1">
        <w:rPr>
          <w:strike/>
          <w:color w:val="000000"/>
        </w:rPr>
        <w:t xml:space="preserve">itted to the General Assembly. </w:t>
      </w:r>
      <w:r w:rsidRPr="00A57E2A">
        <w:rPr>
          <w:strike/>
          <w:color w:val="000000"/>
        </w:rPr>
        <w:t>Upon resubmission of the regulations, additional days must be added to the days remaining in the review period for automatic approval, if less than twenty days, to equal twenty days, and a copy of the amended regulation must be given to</w:t>
      </w:r>
      <w:r w:rsidR="00553AE1">
        <w:rPr>
          <w:strike/>
          <w:color w:val="000000"/>
        </w:rPr>
        <w:t xml:space="preserve"> each member of the committee. </w:t>
      </w:r>
      <w:r w:rsidRPr="00A57E2A">
        <w:rPr>
          <w:strike/>
          <w:color w:val="000000"/>
        </w:rPr>
        <w:t>If an agency decides to take no action pursuant to subsection (B)(3), it shall notify the committee in writing and the remainder of the period begins to r</w:t>
      </w:r>
      <w:r w:rsidR="00553AE1">
        <w:rPr>
          <w:strike/>
          <w:color w:val="000000"/>
        </w:rPr>
        <w:t>un only upon this notification.</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57453">
        <w:rPr>
          <w:color w:val="000000"/>
        </w:rPr>
        <w:tab/>
      </w:r>
      <w:r w:rsidRPr="00A57E2A">
        <w:rPr>
          <w:strike/>
          <w:color w:val="000000"/>
        </w:rPr>
        <w:t>(D)</w:t>
      </w:r>
      <w:r>
        <w:rPr>
          <w:color w:val="000000"/>
          <w:u w:val="single"/>
        </w:rPr>
        <w:t>(C)</w:t>
      </w:r>
      <w:r>
        <w:rPr>
          <w:color w:val="000000"/>
        </w:rPr>
        <w:tab/>
      </w:r>
      <w:r w:rsidRPr="00657453">
        <w:rPr>
          <w:color w:val="000000"/>
        </w:rPr>
        <w:t>This section, as it applies to approval, disapproval, or modification of regulations, does not apply to joint resolutions introduced by other than the committees to which regulations are initially referred by the Lieutenant Governor or the Speaker o</w:t>
      </w:r>
      <w:r w:rsidR="00553AE1">
        <w:rPr>
          <w:color w:val="000000"/>
        </w:rPr>
        <w:t>f the House of Representatives.</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57453">
        <w:rPr>
          <w:color w:val="000000"/>
        </w:rPr>
        <w:tab/>
      </w:r>
      <w:r w:rsidRPr="00A57E2A">
        <w:rPr>
          <w:strike/>
          <w:color w:val="000000"/>
        </w:rPr>
        <w:t>(E)</w:t>
      </w:r>
      <w:r>
        <w:rPr>
          <w:color w:val="000000"/>
          <w:u w:val="single"/>
        </w:rPr>
        <w:t>(D)</w:t>
      </w:r>
      <w:r w:rsidRPr="001A1AF5">
        <w:rPr>
          <w:color w:val="000000"/>
        </w:rPr>
        <w:tab/>
      </w:r>
      <w:r w:rsidRPr="00657453">
        <w:rPr>
          <w:color w:val="000000"/>
        </w:rPr>
        <w:t>A regulation submitted to the General Assembly for review may be withdrawn by the agency for any reason.  The regulation may be resubmitted by the agency for legislative review during the legislative session without repeating the requirements of Section 1</w:t>
      </w:r>
      <w:r w:rsidR="009C3351">
        <w:rPr>
          <w:color w:val="000000"/>
        </w:rPr>
        <w:noBreakHyphen/>
      </w:r>
      <w:r w:rsidRPr="00657453">
        <w:rPr>
          <w:color w:val="000000"/>
        </w:rPr>
        <w:t>23</w:t>
      </w:r>
      <w:r w:rsidR="009C3351">
        <w:rPr>
          <w:color w:val="000000"/>
        </w:rPr>
        <w:noBreakHyphen/>
      </w:r>
      <w:r w:rsidRPr="00657453">
        <w:rPr>
          <w:color w:val="000000"/>
        </w:rPr>
        <w:t>110, 1</w:t>
      </w:r>
      <w:r w:rsidR="009C3351">
        <w:rPr>
          <w:color w:val="000000"/>
        </w:rPr>
        <w:noBreakHyphen/>
      </w:r>
      <w:r w:rsidRPr="00657453">
        <w:rPr>
          <w:color w:val="000000"/>
        </w:rPr>
        <w:t>23</w:t>
      </w:r>
      <w:r w:rsidR="009C3351">
        <w:rPr>
          <w:color w:val="000000"/>
        </w:rPr>
        <w:noBreakHyphen/>
      </w:r>
      <w:r w:rsidRPr="00657453">
        <w:rPr>
          <w:color w:val="000000"/>
        </w:rPr>
        <w:t>111, or 1</w:t>
      </w:r>
      <w:r w:rsidR="009C3351">
        <w:rPr>
          <w:color w:val="000000"/>
        </w:rPr>
        <w:noBreakHyphen/>
      </w:r>
      <w:r w:rsidRPr="00657453">
        <w:rPr>
          <w:color w:val="000000"/>
        </w:rPr>
        <w:t>23</w:t>
      </w:r>
      <w:r w:rsidR="009C3351">
        <w:rPr>
          <w:color w:val="000000"/>
        </w:rPr>
        <w:noBreakHyphen/>
      </w:r>
      <w:r w:rsidRPr="00657453">
        <w:rPr>
          <w:color w:val="000000"/>
        </w:rPr>
        <w:t>115 if the resubmitted regulation contains no substantive changes from th</w:t>
      </w:r>
      <w:r>
        <w:rPr>
          <w:color w:val="000000"/>
        </w:rPr>
        <w:t>e previously submitted version.”</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5.</w:t>
      </w:r>
      <w:r w:rsidRPr="00CC0E72">
        <w:rPr>
          <w:color w:val="000000" w:themeColor="text1"/>
          <w:u w:color="000000" w:themeColor="text1"/>
        </w:rPr>
        <w:tab/>
        <w:t>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115(A) of the 1976 Code is amended to read: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Upon written request by two members of the General Assembly, made before submission of a promulgated regulation to the General Assembly for legislative review, a regulation that has a substantial economic impact must have an assessment report prepared pursuant to this section and in accordance with the procedu</w:t>
      </w:r>
      <w:r w:rsidR="00553AE1">
        <w:rPr>
          <w:color w:val="000000" w:themeColor="text1"/>
          <w:u w:color="000000" w:themeColor="text1"/>
        </w:rPr>
        <w:t xml:space="preserve">res contained in this article. </w:t>
      </w:r>
      <w:r w:rsidRPr="00CC0E72">
        <w:rPr>
          <w:color w:val="000000" w:themeColor="text1"/>
          <w:u w:color="000000" w:themeColor="text1"/>
        </w:rPr>
        <w:t xml:space="preserve">In addition to any other method as may be provided by the General Assembly, the legislative committee to which the promulgated regulation has been referred, by majority vote, may send a written notification to the promulgating agency informing the agency that the committee cannot approve the promulgated regulation unless an assessment report is prepared and provided to the committee. </w:t>
      </w:r>
      <w:r w:rsidRPr="00CC0E72">
        <w:rPr>
          <w:strike/>
          <w:color w:val="000000" w:themeColor="text1"/>
          <w:u w:color="000000" w:themeColor="text1"/>
        </w:rPr>
        <w:t>The written notification tolls the running of the one 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 xml:space="preserve">day legislative review period, and the period does not begin to run again until an assessment report prepared in accordance with this article </w:t>
      </w:r>
      <w:r w:rsidR="00553AE1">
        <w:rPr>
          <w:strike/>
          <w:color w:val="000000" w:themeColor="text1"/>
          <w:u w:color="000000" w:themeColor="text1"/>
        </w:rPr>
        <w:t xml:space="preserve">is submitted to the committee. </w:t>
      </w:r>
      <w:r w:rsidRPr="00CC0E72">
        <w:rPr>
          <w:strike/>
          <w:color w:val="000000" w:themeColor="text1"/>
          <w:u w:color="000000" w:themeColor="text1"/>
        </w:rPr>
        <w:t>Upon receipt of the assessment report, additional days must be added to the days remaining in the one 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day review period, if less than twenty days, to equal twenty days.</w:t>
      </w:r>
      <w:r w:rsidR="00553AE1">
        <w:rPr>
          <w:color w:val="000000" w:themeColor="text1"/>
          <w:u w:color="000000" w:themeColor="text1"/>
        </w:rPr>
        <w:t xml:space="preserve"> </w:t>
      </w:r>
      <w:r w:rsidRPr="00CC0E72">
        <w:rPr>
          <w:color w:val="000000" w:themeColor="text1"/>
          <w:u w:color="000000" w:themeColor="text1"/>
        </w:rPr>
        <w:t>A copy of the assessment report must be provided to each member of the committee.”</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This act takes effect upon approval by the Governor.</w:t>
      </w:r>
    </w:p>
    <w:p w:rsidR="00A536E4" w:rsidRDefault="009C33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7709" w:rsidRDefault="00517709" w:rsidP="00517709">
      <w:pPr>
        <w:suppressAutoHyphens/>
        <w:jc w:val="both"/>
        <w:rPr>
          <w:rFonts w:eastAsia="Times New Roman"/>
        </w:rPr>
      </w:pPr>
    </w:p>
    <w:sectPr w:rsidR="00517709" w:rsidSect="005177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AE1" w:rsidRDefault="00553AE1" w:rsidP="00522CE0">
      <w:r>
        <w:separator/>
      </w:r>
    </w:p>
  </w:endnote>
  <w:endnote w:type="continuationSeparator" w:id="0">
    <w:p w:rsidR="00553AE1" w:rsidRDefault="00553A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9A98FC-C108-43AA-8D9C-52339AE9C53A}"/>
    <w:embedBold r:id="rId2" w:fontKey="{4D2D0185-1174-4F08-86B8-D7A034ED4F98}"/>
  </w:font>
  <w:font w:name="Calibri">
    <w:panose1 w:val="020F0502020204030204"/>
    <w:charset w:val="00"/>
    <w:family w:val="swiss"/>
    <w:pitch w:val="variable"/>
    <w:sig w:usb0="E00002FF" w:usb1="4000ACFF" w:usb2="00000001" w:usb3="00000000" w:csb0="0000019F" w:csb1="00000000"/>
    <w:embedRegular r:id="rId3" w:fontKey="{18B82BBF-92DE-4215-8DEB-D998A55E96A5}"/>
    <w:embedBold r:id="rId4" w:fontKey="{E74AEF97-F5BE-452A-B41C-61CAD20B7CE8}"/>
  </w:font>
  <w:font w:name="Cambria">
    <w:panose1 w:val="02040503050406030204"/>
    <w:charset w:val="00"/>
    <w:family w:val="roman"/>
    <w:pitch w:val="variable"/>
    <w:sig w:usb0="E00002FF" w:usb1="400004FF" w:usb2="00000000" w:usb3="00000000" w:csb0="0000019F" w:csb1="00000000"/>
    <w:embedRegular r:id="rId5" w:fontKey="{F798F30D-7518-4EF5-842E-E65F196D12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09" w:rsidRPr="000A720A" w:rsidRDefault="00517709" w:rsidP="000A720A">
    <w:pPr>
      <w:pStyle w:val="Footer"/>
      <w:tabs>
        <w:tab w:val="clear" w:pos="4680"/>
        <w:tab w:val="clear" w:pos="9360"/>
        <w:tab w:val="center" w:pos="2995"/>
      </w:tabs>
      <w:spacing w:before="120"/>
    </w:pPr>
    <w:r>
      <w:t>[297]</w:t>
    </w:r>
    <w:r>
      <w:tab/>
    </w:r>
    <w:r>
      <w:fldChar w:fldCharType="begin"/>
    </w:r>
    <w:r>
      <w:instrText xml:space="preserve"> PAGE  \* MERGEFORMAT </w:instrText>
    </w:r>
    <w:r>
      <w:fldChar w:fldCharType="separate"/>
    </w:r>
    <w:r w:rsidR="007B53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AE1" w:rsidRDefault="00553AE1" w:rsidP="00522CE0">
      <w:r>
        <w:separator/>
      </w:r>
    </w:p>
  </w:footnote>
  <w:footnote w:type="continuationSeparator" w:id="0">
    <w:p w:rsidR="00553AE1" w:rsidRDefault="00553A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C R.LS.TCA"/>
    <w:docVar w:name="CoverAttorneyInitials" w:val="LS"/>
    <w:docVar w:name="CoverAttorneyLastName" w:val="Simpson"/>
    <w:docVar w:name="CoverBillType" w:val="b"/>
    <w:docVar w:name="CoverSenator" w:val="TCA"/>
    <w:docVar w:name="dvBillNumber" w:val="297"/>
    <w:docVar w:name="dvBillNumberPrefix" w:val="S. "/>
    <w:docVar w:name="dvOriginalBody" w:val="Senate"/>
    <w:docVar w:name="fulldraftpath" w:val="L:\S-RES\TCA\018SC R.LS.TCA.DOCX"/>
    <w:docVar w:name="NameofBody" w:val="S"/>
    <w:docVar w:name="vgroup2" w:val="S-RES"/>
  </w:docVars>
  <w:rsids>
    <w:rsidRoot w:val="00C51F8E"/>
    <w:rsid w:val="00042AC1"/>
    <w:rsid w:val="00046516"/>
    <w:rsid w:val="0007601D"/>
    <w:rsid w:val="000A720A"/>
    <w:rsid w:val="000B0720"/>
    <w:rsid w:val="000B5EAF"/>
    <w:rsid w:val="001315B2"/>
    <w:rsid w:val="00170561"/>
    <w:rsid w:val="00186AC9"/>
    <w:rsid w:val="00197DF1"/>
    <w:rsid w:val="001B3DD9"/>
    <w:rsid w:val="001B7E5D"/>
    <w:rsid w:val="001D3BAC"/>
    <w:rsid w:val="00216025"/>
    <w:rsid w:val="00245C4E"/>
    <w:rsid w:val="002C1321"/>
    <w:rsid w:val="002C2031"/>
    <w:rsid w:val="002C5559"/>
    <w:rsid w:val="002C5896"/>
    <w:rsid w:val="002D3BED"/>
    <w:rsid w:val="003055F9"/>
    <w:rsid w:val="00307C2B"/>
    <w:rsid w:val="00383247"/>
    <w:rsid w:val="003B7463"/>
    <w:rsid w:val="003D6E2B"/>
    <w:rsid w:val="003E7597"/>
    <w:rsid w:val="0044020F"/>
    <w:rsid w:val="00450668"/>
    <w:rsid w:val="004813A2"/>
    <w:rsid w:val="004952FA"/>
    <w:rsid w:val="004B6A22"/>
    <w:rsid w:val="004D7F37"/>
    <w:rsid w:val="004E4FCE"/>
    <w:rsid w:val="004F0CE6"/>
    <w:rsid w:val="00517709"/>
    <w:rsid w:val="00522CE0"/>
    <w:rsid w:val="00553AE1"/>
    <w:rsid w:val="00565148"/>
    <w:rsid w:val="00570403"/>
    <w:rsid w:val="00593361"/>
    <w:rsid w:val="005A413B"/>
    <w:rsid w:val="005A5017"/>
    <w:rsid w:val="005A648C"/>
    <w:rsid w:val="005F1745"/>
    <w:rsid w:val="006A1802"/>
    <w:rsid w:val="006C74EA"/>
    <w:rsid w:val="0071194A"/>
    <w:rsid w:val="00714587"/>
    <w:rsid w:val="00720D40"/>
    <w:rsid w:val="007318D4"/>
    <w:rsid w:val="00765784"/>
    <w:rsid w:val="007A4390"/>
    <w:rsid w:val="007B5327"/>
    <w:rsid w:val="007E5CB7"/>
    <w:rsid w:val="008074A4"/>
    <w:rsid w:val="008314D2"/>
    <w:rsid w:val="008B2F42"/>
    <w:rsid w:val="008C3697"/>
    <w:rsid w:val="008E185F"/>
    <w:rsid w:val="008E392D"/>
    <w:rsid w:val="008F023B"/>
    <w:rsid w:val="00904E16"/>
    <w:rsid w:val="009162B3"/>
    <w:rsid w:val="00923E62"/>
    <w:rsid w:val="00927C62"/>
    <w:rsid w:val="00983951"/>
    <w:rsid w:val="00984124"/>
    <w:rsid w:val="00984640"/>
    <w:rsid w:val="00995C37"/>
    <w:rsid w:val="009C118A"/>
    <w:rsid w:val="009C3351"/>
    <w:rsid w:val="009F6A53"/>
    <w:rsid w:val="00A02011"/>
    <w:rsid w:val="00A4011E"/>
    <w:rsid w:val="00A536E4"/>
    <w:rsid w:val="00A86015"/>
    <w:rsid w:val="00A9594E"/>
    <w:rsid w:val="00AE1EA4"/>
    <w:rsid w:val="00AE59C8"/>
    <w:rsid w:val="00B10098"/>
    <w:rsid w:val="00B5790D"/>
    <w:rsid w:val="00B945C5"/>
    <w:rsid w:val="00BA20EA"/>
    <w:rsid w:val="00BB5AFC"/>
    <w:rsid w:val="00BC0A56"/>
    <w:rsid w:val="00C24B8C"/>
    <w:rsid w:val="00C45366"/>
    <w:rsid w:val="00C51F8E"/>
    <w:rsid w:val="00C57023"/>
    <w:rsid w:val="00C74052"/>
    <w:rsid w:val="00CA001B"/>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770499F-0816-43ED-933D-049385DA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177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97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2577</Words>
  <Characters>14691</Characters>
  <Application>Microsoft Office Word</Application>
  <DocSecurity>6</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297: SC Regulatory Reform Act - South Carolina Legislature Online</dc:title>
  <dc:subject/>
  <dc:creator>LeslieSimpson</dc:creator>
  <cp:keywords/>
  <dc:description/>
  <cp:lastModifiedBy>N Cumfer</cp:lastModifiedBy>
  <cp:revision>2</cp:revision>
  <dcterms:created xsi:type="dcterms:W3CDTF">2016-12-02T16:58:00Z</dcterms:created>
  <dcterms:modified xsi:type="dcterms:W3CDTF">2016-12-02T16:58:00Z</dcterms:modified>
</cp:coreProperties>
</file>