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E4C" w:rsidRDefault="00641E4C" w:rsidP="00641E4C">
      <w:pPr>
        <w:widowControl w:val="0"/>
        <w:jc w:val="center"/>
      </w:pPr>
      <w:bookmarkStart w:id="0" w:name="_GoBack"/>
      <w:bookmarkEnd w:id="0"/>
      <w:r w:rsidRPr="00641E4C">
        <w:rPr>
          <w:b/>
        </w:rPr>
        <w:t>South Carolina General Assembly</w:t>
      </w:r>
    </w:p>
    <w:p w:rsidR="00641E4C" w:rsidRDefault="00641E4C" w:rsidP="00641E4C">
      <w:pPr>
        <w:widowControl w:val="0"/>
        <w:jc w:val="center"/>
      </w:pPr>
      <w:r>
        <w:t>121st Session, 2015-2016</w:t>
      </w:r>
    </w:p>
    <w:p w:rsidR="00641E4C" w:rsidRDefault="00641E4C" w:rsidP="00641E4C">
      <w:pPr>
        <w:widowControl w:val="0"/>
      </w:pPr>
    </w:p>
    <w:p w:rsidR="00641E4C" w:rsidRDefault="00641E4C" w:rsidP="00641E4C">
      <w:pPr>
        <w:widowControl w:val="0"/>
        <w:rPr>
          <w:b/>
        </w:rPr>
      </w:pPr>
      <w:r w:rsidRPr="00641E4C">
        <w:rPr>
          <w:b/>
        </w:rPr>
        <w:t>S.</w:t>
      </w:r>
      <w:r>
        <w:rPr>
          <w:b/>
        </w:rPr>
        <w:t xml:space="preserve"> </w:t>
      </w:r>
      <w:r w:rsidRPr="00641E4C">
        <w:rPr>
          <w:b/>
        </w:rPr>
        <w:t>34</w:t>
      </w:r>
    </w:p>
    <w:p w:rsidR="00641E4C" w:rsidRDefault="00641E4C" w:rsidP="00641E4C">
      <w:pPr>
        <w:widowControl w:val="0"/>
        <w:rPr>
          <w:b/>
        </w:rPr>
      </w:pPr>
    </w:p>
    <w:p w:rsidR="00641E4C" w:rsidRDefault="00641E4C" w:rsidP="00641E4C">
      <w:pPr>
        <w:widowControl w:val="0"/>
      </w:pPr>
      <w:r w:rsidRPr="00641E4C">
        <w:rPr>
          <w:b/>
        </w:rPr>
        <w:t>STATUS INFORMATION</w:t>
      </w:r>
    </w:p>
    <w:p w:rsidR="00641E4C" w:rsidRDefault="00641E4C" w:rsidP="00641E4C">
      <w:pPr>
        <w:widowControl w:val="0"/>
      </w:pPr>
    </w:p>
    <w:p w:rsidR="00641E4C" w:rsidRDefault="00641E4C" w:rsidP="00641E4C">
      <w:pPr>
        <w:widowControl w:val="0"/>
      </w:pPr>
      <w:r>
        <w:t>General Bill</w:t>
      </w:r>
    </w:p>
    <w:p w:rsidR="00641E4C" w:rsidRDefault="0076265E" w:rsidP="00641E4C">
      <w:pPr>
        <w:widowControl w:val="0"/>
      </w:pPr>
      <w:r>
        <w:t>Sponsors: Senators Bryant and Grooms</w:t>
      </w:r>
    </w:p>
    <w:p w:rsidR="00641E4C" w:rsidRDefault="00641E4C" w:rsidP="00641E4C">
      <w:pPr>
        <w:widowControl w:val="0"/>
      </w:pPr>
      <w:r>
        <w:t>Document Path: l:\s-res\klb\010abor.ksg.klb.docx</w:t>
      </w:r>
    </w:p>
    <w:p w:rsidR="00641E4C" w:rsidRDefault="00641E4C" w:rsidP="00641E4C">
      <w:pPr>
        <w:widowControl w:val="0"/>
      </w:pPr>
    </w:p>
    <w:p w:rsidR="00D11F67" w:rsidRDefault="00D11F67" w:rsidP="00641E4C">
      <w:pPr>
        <w:widowControl w:val="0"/>
      </w:pPr>
      <w:r>
        <w:t>Introduced in the Senate on January 13, 2015</w:t>
      </w:r>
    </w:p>
    <w:p w:rsidR="00D11F67" w:rsidRPr="00D11F67" w:rsidRDefault="00D11F67" w:rsidP="00641E4C">
      <w:pPr>
        <w:widowControl w:val="0"/>
      </w:pPr>
      <w:r>
        <w:t xml:space="preserve">Currently residing in the Senate Committee on </w:t>
      </w:r>
      <w:r w:rsidRPr="00D11F67">
        <w:rPr>
          <w:b/>
        </w:rPr>
        <w:t>Medical Affairs</w:t>
      </w:r>
    </w:p>
    <w:p w:rsidR="00D11F67" w:rsidRDefault="00D11F67" w:rsidP="00641E4C">
      <w:pPr>
        <w:widowControl w:val="0"/>
      </w:pPr>
    </w:p>
    <w:p w:rsidR="00641E4C" w:rsidRDefault="00641E4C" w:rsidP="00641E4C">
      <w:pPr>
        <w:widowControl w:val="0"/>
      </w:pPr>
      <w:r>
        <w:t xml:space="preserve">Summary: </w:t>
      </w:r>
      <w:r w:rsidR="00CD29A3">
        <w:t>Abortion</w:t>
      </w:r>
    </w:p>
    <w:p w:rsidR="00641E4C" w:rsidRDefault="00641E4C" w:rsidP="00641E4C">
      <w:pPr>
        <w:widowControl w:val="0"/>
      </w:pPr>
    </w:p>
    <w:p w:rsidR="00641E4C" w:rsidRDefault="00641E4C" w:rsidP="00641E4C">
      <w:pPr>
        <w:widowControl w:val="0"/>
      </w:pPr>
    </w:p>
    <w:p w:rsidR="00641E4C" w:rsidRDefault="00641E4C" w:rsidP="00641E4C">
      <w:pPr>
        <w:widowControl w:val="0"/>
        <w:tabs>
          <w:tab w:val="center" w:pos="590"/>
          <w:tab w:val="center" w:pos="1440"/>
          <w:tab w:val="left" w:pos="1872"/>
          <w:tab w:val="left" w:pos="9187"/>
        </w:tabs>
      </w:pPr>
      <w:r w:rsidRPr="00641E4C">
        <w:rPr>
          <w:b/>
        </w:rPr>
        <w:t>HISTORY OF LEGISLATIVE ACTIONS</w:t>
      </w:r>
    </w:p>
    <w:p w:rsidR="00641E4C" w:rsidRDefault="00641E4C" w:rsidP="00641E4C">
      <w:pPr>
        <w:widowControl w:val="0"/>
        <w:tabs>
          <w:tab w:val="center" w:pos="590"/>
          <w:tab w:val="center" w:pos="1440"/>
          <w:tab w:val="left" w:pos="1872"/>
          <w:tab w:val="left" w:pos="9187"/>
        </w:tabs>
      </w:pPr>
    </w:p>
    <w:p w:rsidR="00641E4C" w:rsidRPr="00641E4C" w:rsidRDefault="00641E4C" w:rsidP="00641E4C">
      <w:pPr>
        <w:widowControl w:val="0"/>
        <w:tabs>
          <w:tab w:val="center" w:pos="590"/>
          <w:tab w:val="center" w:pos="1440"/>
          <w:tab w:val="left" w:pos="1872"/>
          <w:tab w:val="left" w:pos="9187"/>
        </w:tabs>
      </w:pPr>
      <w:r w:rsidRPr="00641E4C">
        <w:rPr>
          <w:u w:val="single"/>
        </w:rPr>
        <w:tab/>
        <w:t>Date</w:t>
      </w:r>
      <w:r w:rsidRPr="00641E4C">
        <w:rPr>
          <w:u w:val="single"/>
        </w:rPr>
        <w:tab/>
        <w:t>Body</w:t>
      </w:r>
      <w:r w:rsidRPr="00641E4C">
        <w:rPr>
          <w:u w:val="single"/>
        </w:rPr>
        <w:tab/>
        <w:t>Action Description with journal page number</w:t>
      </w:r>
      <w:r w:rsidRPr="00641E4C">
        <w:rPr>
          <w:u w:val="single"/>
        </w:rPr>
        <w:tab/>
      </w:r>
    </w:p>
    <w:p w:rsidR="00273949" w:rsidRDefault="00273949" w:rsidP="00273949">
      <w:pPr>
        <w:widowControl w:val="0"/>
        <w:tabs>
          <w:tab w:val="right" w:pos="1008"/>
          <w:tab w:val="left" w:pos="1152"/>
          <w:tab w:val="left" w:pos="1872"/>
          <w:tab w:val="left" w:pos="9187"/>
        </w:tabs>
        <w:ind w:left="2088" w:hanging="2088"/>
      </w:pPr>
      <w:r>
        <w:tab/>
        <w:t>12/3/2014</w:t>
      </w:r>
      <w:r>
        <w:tab/>
        <w:t>Senate</w:t>
      </w:r>
      <w:r>
        <w:tab/>
      </w:r>
      <w:r w:rsidRPr="005C579E">
        <w:t>Prefiled</w:t>
      </w:r>
    </w:p>
    <w:p w:rsidR="00273949" w:rsidRDefault="00273949" w:rsidP="00273949">
      <w:pPr>
        <w:widowControl w:val="0"/>
        <w:tabs>
          <w:tab w:val="right" w:pos="1008"/>
          <w:tab w:val="left" w:pos="1152"/>
          <w:tab w:val="left" w:pos="1872"/>
          <w:tab w:val="left" w:pos="9187"/>
        </w:tabs>
        <w:ind w:left="2088" w:hanging="2088"/>
      </w:pPr>
      <w:r>
        <w:tab/>
        <w:t>12/3/2014</w:t>
      </w:r>
      <w:r>
        <w:tab/>
        <w:t>Senate</w:t>
      </w:r>
      <w:r>
        <w:tab/>
      </w:r>
      <w:r w:rsidRPr="005C579E">
        <w:t xml:space="preserve">Referred to Committee on </w:t>
      </w:r>
      <w:r w:rsidRPr="005C579E">
        <w:rPr>
          <w:b/>
        </w:rPr>
        <w:t>Medical Affairs</w:t>
      </w:r>
    </w:p>
    <w:p w:rsidR="00273949" w:rsidRDefault="00273949" w:rsidP="00273949">
      <w:pPr>
        <w:widowControl w:val="0"/>
        <w:tabs>
          <w:tab w:val="right" w:pos="1008"/>
          <w:tab w:val="left" w:pos="1152"/>
          <w:tab w:val="left" w:pos="1872"/>
          <w:tab w:val="left" w:pos="9187"/>
        </w:tabs>
        <w:ind w:left="2088" w:hanging="2088"/>
      </w:pPr>
      <w:r>
        <w:tab/>
        <w:t>1/13/2015</w:t>
      </w:r>
      <w:r>
        <w:tab/>
        <w:t>Senate</w:t>
      </w:r>
      <w:r>
        <w:tab/>
      </w:r>
      <w:r w:rsidRPr="005C579E">
        <w:t>Introduced and read first time (</w:t>
      </w:r>
      <w:hyperlink r:id="rId6" w:history="1">
        <w:r w:rsidRPr="00463E1B">
          <w:rPr>
            <w:rStyle w:val="Hyperlink"/>
          </w:rPr>
          <w:t>Senate Journal</w:t>
        </w:r>
        <w:r w:rsidRPr="00463E1B">
          <w:rPr>
            <w:rStyle w:val="Hyperlink"/>
          </w:rPr>
          <w:noBreakHyphen/>
          <w:t>page 50</w:t>
        </w:r>
      </w:hyperlink>
      <w:r w:rsidRPr="005C579E">
        <w:t>)</w:t>
      </w:r>
    </w:p>
    <w:p w:rsidR="00273949" w:rsidRDefault="00273949" w:rsidP="00273949">
      <w:pPr>
        <w:widowControl w:val="0"/>
        <w:tabs>
          <w:tab w:val="right" w:pos="1008"/>
          <w:tab w:val="left" w:pos="1152"/>
          <w:tab w:val="left" w:pos="1872"/>
          <w:tab w:val="left" w:pos="9187"/>
        </w:tabs>
        <w:ind w:left="2088" w:hanging="2088"/>
      </w:pPr>
      <w:r>
        <w:tab/>
        <w:t>1/13/2015</w:t>
      </w:r>
      <w:r>
        <w:tab/>
        <w:t>Senate</w:t>
      </w:r>
      <w:r>
        <w:tab/>
      </w:r>
      <w:r w:rsidRPr="005C579E">
        <w:t xml:space="preserve">Referred </w:t>
      </w:r>
      <w:r>
        <w:t xml:space="preserve">to Committee on </w:t>
      </w:r>
      <w:r w:rsidRPr="005C579E">
        <w:rPr>
          <w:b/>
        </w:rPr>
        <w:t>Medical Affairs</w:t>
      </w:r>
      <w:r>
        <w:t xml:space="preserve"> </w:t>
      </w:r>
      <w:r w:rsidRPr="005C579E">
        <w:t>(</w:t>
      </w:r>
      <w:hyperlink r:id="rId7" w:history="1">
        <w:r w:rsidRPr="00463E1B">
          <w:rPr>
            <w:rStyle w:val="Hyperlink"/>
          </w:rPr>
          <w:t>Senate Journal</w:t>
        </w:r>
        <w:r w:rsidRPr="00463E1B">
          <w:rPr>
            <w:rStyle w:val="Hyperlink"/>
          </w:rPr>
          <w:noBreakHyphen/>
          <w:t>page 50</w:t>
        </w:r>
      </w:hyperlink>
      <w:r w:rsidRPr="005C579E">
        <w:t>)</w:t>
      </w:r>
    </w:p>
    <w:p w:rsidR="00273949" w:rsidRDefault="00273949" w:rsidP="00273949">
      <w:pPr>
        <w:widowControl w:val="0"/>
        <w:tabs>
          <w:tab w:val="right" w:pos="1008"/>
          <w:tab w:val="left" w:pos="1152"/>
          <w:tab w:val="left" w:pos="1872"/>
          <w:tab w:val="left" w:pos="9187"/>
        </w:tabs>
        <w:ind w:left="2088" w:hanging="2088"/>
      </w:pPr>
    </w:p>
    <w:p w:rsidR="00641E4C" w:rsidRDefault="00641E4C" w:rsidP="00641E4C">
      <w:pPr>
        <w:widowControl w:val="0"/>
        <w:tabs>
          <w:tab w:val="right" w:pos="1008"/>
          <w:tab w:val="left" w:pos="1152"/>
          <w:tab w:val="left" w:pos="1872"/>
          <w:tab w:val="left" w:pos="9187"/>
        </w:tabs>
        <w:ind w:left="2088" w:hanging="2088"/>
      </w:pPr>
      <w:r>
        <w:t xml:space="preserve">View the latest </w:t>
      </w:r>
      <w:hyperlink r:id="rId8" w:history="1">
        <w:r w:rsidRPr="00641E4C">
          <w:rPr>
            <w:rStyle w:val="Hyperlink"/>
          </w:rPr>
          <w:t>legislative information</w:t>
        </w:r>
      </w:hyperlink>
      <w:r>
        <w:t xml:space="preserve"> at the website</w:t>
      </w:r>
    </w:p>
    <w:p w:rsidR="00641E4C" w:rsidRDefault="00641E4C" w:rsidP="00641E4C">
      <w:pPr>
        <w:widowControl w:val="0"/>
        <w:tabs>
          <w:tab w:val="right" w:pos="1008"/>
          <w:tab w:val="left" w:pos="1152"/>
          <w:tab w:val="left" w:pos="1872"/>
          <w:tab w:val="left" w:pos="9187"/>
        </w:tabs>
        <w:ind w:left="2088" w:hanging="2088"/>
      </w:pPr>
    </w:p>
    <w:p w:rsidR="00641E4C" w:rsidRPr="00641E4C" w:rsidRDefault="00641E4C" w:rsidP="00641E4C">
      <w:pPr>
        <w:widowControl w:val="0"/>
        <w:tabs>
          <w:tab w:val="right" w:pos="1008"/>
          <w:tab w:val="left" w:pos="1152"/>
          <w:tab w:val="left" w:pos="1872"/>
          <w:tab w:val="left" w:pos="9187"/>
        </w:tabs>
        <w:ind w:left="2088" w:hanging="2088"/>
      </w:pPr>
    </w:p>
    <w:p w:rsidR="00641E4C" w:rsidRDefault="00641E4C" w:rsidP="00641E4C">
      <w:pPr>
        <w:widowControl w:val="0"/>
      </w:pPr>
      <w:r w:rsidRPr="00641E4C">
        <w:rPr>
          <w:b/>
        </w:rPr>
        <w:t>VERSIONS OF THIS BILL</w:t>
      </w:r>
    </w:p>
    <w:p w:rsidR="00641E4C" w:rsidRDefault="00641E4C" w:rsidP="00641E4C">
      <w:pPr>
        <w:widowControl w:val="0"/>
      </w:pPr>
    </w:p>
    <w:p w:rsidR="00641E4C" w:rsidRDefault="00463E1B" w:rsidP="00641E4C">
      <w:pPr>
        <w:widowControl w:val="0"/>
      </w:pPr>
      <w:hyperlink r:id="rId9" w:history="1">
        <w:r w:rsidR="00641E4C">
          <w:rPr>
            <w:rStyle w:val="Hyperlink"/>
          </w:rPr>
          <w:t>12/3/2014</w:t>
        </w:r>
      </w:hyperlink>
    </w:p>
    <w:p w:rsidR="00641E4C" w:rsidRDefault="00641E4C" w:rsidP="00641E4C"/>
    <w:p w:rsidR="00641E4C" w:rsidRDefault="00641E4C" w:rsidP="00641E4C">
      <w:pPr>
        <w:sectPr w:rsidR="00641E4C" w:rsidSect="00641E4C">
          <w:pgSz w:w="12240" w:h="15840" w:code="1"/>
          <w:pgMar w:top="1080" w:right="1440" w:bottom="1080" w:left="1440" w:header="720" w:footer="720" w:gutter="0"/>
          <w:cols w:space="720"/>
          <w:noEndnote/>
          <w:docGrid w:linePitch="360"/>
        </w:sectPr>
      </w:pPr>
    </w:p>
    <w:p w:rsidR="002A4ED3" w:rsidRPr="00522CE0" w:rsidRDefault="002A4E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A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F04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70A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05987">
        <w:rPr>
          <w:rFonts w:eastAsia="Times New Roman"/>
        </w:rPr>
        <w:t>SECTION 44</w:t>
      </w:r>
      <w:r w:rsidR="00824CD9">
        <w:rPr>
          <w:rFonts w:eastAsia="Times New Roman"/>
        </w:rPr>
        <w:t>–</w:t>
      </w:r>
      <w:r w:rsidR="00C05987">
        <w:rPr>
          <w:rFonts w:eastAsia="Times New Roman"/>
        </w:rPr>
        <w:t>41</w:t>
      </w:r>
      <w:r w:rsidR="00824CD9">
        <w:rPr>
          <w:rFonts w:eastAsia="Times New Roman"/>
        </w:rPr>
        <w:t>–</w:t>
      </w:r>
      <w:r w:rsidR="00C05987">
        <w:rPr>
          <w:rFonts w:eastAsia="Times New Roman"/>
        </w:rPr>
        <w:t>10 OF THE 1976 CODE, RELATING TO ABORTIONS, TO PROVIDE DEFINITIONS PERTAINING TO ABORTION</w:t>
      </w:r>
      <w:r w:rsidR="00EC0B3E">
        <w:rPr>
          <w:rFonts w:eastAsia="Times New Roman"/>
        </w:rPr>
        <w:noBreakHyphen/>
      </w:r>
      <w:r w:rsidR="00C05987">
        <w:rPr>
          <w:rFonts w:eastAsia="Times New Roman"/>
        </w:rPr>
        <w:t xml:space="preserve">INDUCING DRUGS; AND TO AMEND </w:t>
      </w:r>
      <w:r>
        <w:rPr>
          <w:rFonts w:eastAsia="Times New Roman"/>
        </w:rPr>
        <w:t xml:space="preserve">CHAPTER 41, TITLE 44 OF THE 1976 CODE, RELATING TO ABORTIONS, BY ADDING SECTION 44–41–90, TO PROVIDE THAT IT SHALL BE UNLAWFUL TO KNOWINGLY </w:t>
      </w:r>
      <w:r w:rsidR="00C05987">
        <w:rPr>
          <w:rFonts w:eastAsia="Times New Roman"/>
        </w:rPr>
        <w:t>PRESCRIBE</w:t>
      </w:r>
      <w:r>
        <w:rPr>
          <w:rFonts w:eastAsia="Times New Roman"/>
        </w:rPr>
        <w:t xml:space="preserve"> ANY ABORTION</w:t>
      </w:r>
      <w:r w:rsidR="00EC0B3E">
        <w:rPr>
          <w:rFonts w:eastAsia="Times New Roman"/>
        </w:rPr>
        <w:noBreakHyphen/>
      </w:r>
      <w:r>
        <w:rPr>
          <w:rFonts w:eastAsia="Times New Roman"/>
        </w:rPr>
        <w:t xml:space="preserve">INDUCING DRUG TO A PREGNANT WOMAN FOR THE </w:t>
      </w:r>
      <w:r w:rsidR="00EC0B3E">
        <w:rPr>
          <w:rFonts w:eastAsia="Times New Roman"/>
        </w:rPr>
        <w:t>PURPOSE OF INDUCING AN ABORTION,</w:t>
      </w:r>
      <w:r>
        <w:rPr>
          <w:rFonts w:eastAsia="Times New Roman"/>
        </w:rPr>
        <w:t xml:space="preserve"> </w:t>
      </w:r>
      <w:r w:rsidR="00512936">
        <w:rPr>
          <w:rFonts w:eastAsia="Times New Roman"/>
        </w:rPr>
        <w:t xml:space="preserve">EXCEPT UNDER CERTAIN CIRCUMSTANCES, </w:t>
      </w:r>
      <w:r>
        <w:rPr>
          <w:rFonts w:eastAsia="Times New Roman"/>
        </w:rPr>
        <w:t xml:space="preserve">TO PROVIDE THAT ANY PHYSICIAN </w:t>
      </w:r>
      <w:r w:rsidR="00C05987">
        <w:rPr>
          <w:rFonts w:eastAsia="Times New Roman"/>
        </w:rPr>
        <w:t>PROVIDING</w:t>
      </w:r>
      <w:r>
        <w:rPr>
          <w:rFonts w:eastAsia="Times New Roman"/>
        </w:rPr>
        <w:t xml:space="preserve"> AN ABORTION</w:t>
      </w:r>
      <w:r w:rsidR="00EC0B3E">
        <w:rPr>
          <w:rFonts w:eastAsia="Times New Roman"/>
        </w:rPr>
        <w:noBreakHyphen/>
      </w:r>
      <w:r>
        <w:rPr>
          <w:rFonts w:eastAsia="Times New Roman"/>
        </w:rPr>
        <w:t>INDUCING DRUG TO A PREGNANT WOMAN SHALL EXAMINE THE WOMAN FIRST AND PROVIDE HER WITH A COPY OF THE DRUG</w:t>
      </w:r>
      <w:r w:rsidR="00EC0B3E" w:rsidRPr="00EC0B3E">
        <w:rPr>
          <w:rFonts w:eastAsia="Times New Roman"/>
        </w:rPr>
        <w:t>’</w:t>
      </w:r>
      <w:r>
        <w:rPr>
          <w:rFonts w:eastAsia="Times New Roman"/>
        </w:rPr>
        <w:t>S LABEL</w:t>
      </w:r>
      <w:r w:rsidR="00EC0B3E">
        <w:rPr>
          <w:rFonts w:eastAsia="Times New Roman"/>
        </w:rPr>
        <w:t>,</w:t>
      </w:r>
      <w:r>
        <w:rPr>
          <w:rFonts w:eastAsia="Times New Roman"/>
        </w:rPr>
        <w:t xml:space="preserve"> TO PROVIDE THAT A PHYSICIAN </w:t>
      </w:r>
      <w:r w:rsidR="00C05987">
        <w:rPr>
          <w:rFonts w:eastAsia="Times New Roman"/>
        </w:rPr>
        <w:t>PRESCRIBING</w:t>
      </w:r>
      <w:r>
        <w:rPr>
          <w:rFonts w:eastAsia="Times New Roman"/>
        </w:rPr>
        <w:t xml:space="preserve"> THE DRUG MUST HAVE A SIGNED CONTRACT WITH A PHYSICIAN WHO AGREES TO </w:t>
      </w:r>
      <w:r w:rsidR="00161460">
        <w:rPr>
          <w:rFonts w:eastAsia="Times New Roman"/>
        </w:rPr>
        <w:t>TREAT</w:t>
      </w:r>
      <w:r>
        <w:rPr>
          <w:rFonts w:eastAsia="Times New Roman"/>
        </w:rPr>
        <w:t xml:space="preserve"> </w:t>
      </w:r>
      <w:r w:rsidR="00EC0B3E">
        <w:rPr>
          <w:rFonts w:eastAsia="Times New Roman"/>
        </w:rPr>
        <w:t>ANY COMPLICATIONS THAT MAY ARISE,</w:t>
      </w:r>
      <w:r>
        <w:rPr>
          <w:rFonts w:eastAsia="Times New Roman"/>
        </w:rPr>
        <w:t xml:space="preserve"> TO PROVIDE THAT THE PHYSICIAN </w:t>
      </w:r>
      <w:r w:rsidR="00C05987">
        <w:rPr>
          <w:rFonts w:eastAsia="Times New Roman"/>
        </w:rPr>
        <w:t>PRESCRIBING</w:t>
      </w:r>
      <w:r>
        <w:rPr>
          <w:rFonts w:eastAsia="Times New Roman"/>
        </w:rPr>
        <w:t xml:space="preserve"> THE DRUG SHALL SCHEDULE A FOLLOW</w:t>
      </w:r>
      <w:r w:rsidR="00EC0B3E">
        <w:rPr>
          <w:rFonts w:eastAsia="Times New Roman"/>
        </w:rPr>
        <w:noBreakHyphen/>
      </w:r>
      <w:r>
        <w:rPr>
          <w:rFonts w:eastAsia="Times New Roman"/>
        </w:rPr>
        <w:t>UP VISIT WITH THE PREG</w:t>
      </w:r>
      <w:r w:rsidR="00EC0B3E">
        <w:rPr>
          <w:rFonts w:eastAsia="Times New Roman"/>
        </w:rPr>
        <w:t>NANT WOMAN WITHIN FOURTEEN DAYS,</w:t>
      </w:r>
      <w:r>
        <w:rPr>
          <w:rFonts w:eastAsia="Times New Roman"/>
        </w:rPr>
        <w:t xml:space="preserve"> TO PROVIDE THAT THE PHYSICIAN </w:t>
      </w:r>
      <w:r w:rsidR="00824CD9">
        <w:rPr>
          <w:rFonts w:eastAsia="Times New Roman"/>
        </w:rPr>
        <w:t>PRESCRIBING</w:t>
      </w:r>
      <w:r>
        <w:rPr>
          <w:rFonts w:eastAsia="Times New Roman"/>
        </w:rPr>
        <w:t xml:space="preserve"> THE DRUG MUST PROVIDE A WRITTEN REPORT WITHIN THREE </w:t>
      </w:r>
      <w:r w:rsidR="00EC0B3E">
        <w:rPr>
          <w:rFonts w:eastAsia="Times New Roman"/>
        </w:rPr>
        <w:t>DAYS IF AN ADVERSE EVENT OCCURS,</w:t>
      </w:r>
      <w:r>
        <w:rPr>
          <w:rFonts w:eastAsia="Times New Roman"/>
        </w:rPr>
        <w:t xml:space="preserve"> AND TO PROVIDE FOR CRIMINAL AND CIVIL PENALTIES </w:t>
      </w:r>
      <w:r w:rsidR="00EC0B3E">
        <w:rPr>
          <w:rFonts w:eastAsia="Times New Roman"/>
        </w:rPr>
        <w:t>FOR VIOLATIONS OF THIS SECTION.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F041C" w:rsidRDefault="00BF0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F041C" w:rsidRDefault="00BF04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528D" w:rsidRDefault="00770ABF"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74F1">
        <w:rPr>
          <w:rFonts w:eastAsia="Times New Roman"/>
          <w:color w:val="000000" w:themeColor="text1"/>
          <w:u w:color="000000" w:themeColor="text1"/>
        </w:rPr>
        <w:t>SECTION</w:t>
      </w:r>
      <w:r w:rsidRPr="008D74F1">
        <w:rPr>
          <w:rFonts w:eastAsia="Times New Roman"/>
          <w:color w:val="000000" w:themeColor="text1"/>
          <w:u w:color="000000" w:themeColor="text1"/>
        </w:rPr>
        <w:tab/>
        <w:t>1.</w:t>
      </w:r>
      <w:r w:rsidRPr="008D74F1">
        <w:rPr>
          <w:rFonts w:eastAsia="Times New Roman"/>
          <w:color w:val="000000" w:themeColor="text1"/>
          <w:u w:color="000000" w:themeColor="text1"/>
        </w:rPr>
        <w:tab/>
      </w:r>
      <w:r w:rsidR="004A528D">
        <w:rPr>
          <w:rFonts w:eastAsia="Times New Roman"/>
          <w:color w:val="000000" w:themeColor="text1"/>
          <w:u w:color="000000" w:themeColor="text1"/>
        </w:rPr>
        <w:t>Section 44</w:t>
      </w:r>
      <w:r w:rsidR="00824CD9">
        <w:rPr>
          <w:rFonts w:eastAsia="Times New Roman"/>
        </w:rPr>
        <w:t>–</w:t>
      </w:r>
      <w:r w:rsidR="004A528D">
        <w:rPr>
          <w:rFonts w:eastAsia="Times New Roman"/>
          <w:color w:val="000000" w:themeColor="text1"/>
          <w:u w:color="000000" w:themeColor="text1"/>
        </w:rPr>
        <w:t>41</w:t>
      </w:r>
      <w:r w:rsidR="00824CD9">
        <w:rPr>
          <w:rFonts w:eastAsia="Times New Roman"/>
        </w:rPr>
        <w:t>–</w:t>
      </w:r>
      <w:r w:rsidR="004A528D">
        <w:rPr>
          <w:rFonts w:eastAsia="Times New Roman"/>
          <w:color w:val="000000" w:themeColor="text1"/>
          <w:u w:color="000000" w:themeColor="text1"/>
        </w:rPr>
        <w:t xml:space="preserve">10 of the 1976 Code is amended </w:t>
      </w:r>
      <w:r w:rsidR="00A2350C">
        <w:rPr>
          <w:rFonts w:eastAsia="Times New Roman"/>
          <w:color w:val="000000" w:themeColor="text1"/>
          <w:u w:color="000000" w:themeColor="text1"/>
        </w:rPr>
        <w:t>by adding</w:t>
      </w:r>
      <w:r w:rsidR="004A528D">
        <w:rPr>
          <w:rFonts w:eastAsia="Times New Roman"/>
          <w:color w:val="000000" w:themeColor="text1"/>
          <w:u w:color="000000" w:themeColor="text1"/>
        </w:rPr>
        <w:t>:</w:t>
      </w:r>
    </w:p>
    <w:p w:rsidR="00A2350C" w:rsidRDefault="00A2350C"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rFonts w:eastAsia="Times New Roman"/>
          <w:color w:val="000000" w:themeColor="text1"/>
          <w:u w:color="000000" w:themeColor="text1"/>
        </w:rPr>
        <w:lastRenderedPageBreak/>
        <w:tab/>
      </w:r>
      <w:r w:rsidR="00824CD9">
        <w:rPr>
          <w:rFonts w:eastAsia="Times New Roman"/>
          <w:color w:val="000000" w:themeColor="text1"/>
          <w:u w:color="000000" w:themeColor="text1"/>
        </w:rPr>
        <w:t>“</w:t>
      </w:r>
      <w:r w:rsidRPr="004470ED">
        <w:rPr>
          <w:rFonts w:eastAsia="Times New Roman"/>
          <w:color w:val="000000" w:themeColor="text1"/>
          <w:u w:color="000000" w:themeColor="text1"/>
        </w:rPr>
        <w:t>(p)</w:t>
      </w:r>
      <w:r w:rsidRPr="004470ED">
        <w:rPr>
          <w:rFonts w:eastAsia="Times New Roman"/>
          <w:color w:val="000000" w:themeColor="text1"/>
          <w:u w:color="000000" w:themeColor="text1"/>
        </w:rPr>
        <w:tab/>
      </w:r>
      <w:r w:rsidR="00EC0B3E">
        <w:rPr>
          <w:color w:val="000000" w:themeColor="text1"/>
          <w:u w:color="000000" w:themeColor="text1"/>
        </w:rPr>
        <w:t>‘</w:t>
      </w:r>
      <w:r w:rsidRPr="004470ED">
        <w:rPr>
          <w:bCs/>
          <w:color w:val="000000" w:themeColor="text1"/>
          <w:u w:color="000000" w:themeColor="text1"/>
        </w:rPr>
        <w:t>Abortion</w:t>
      </w:r>
      <w:r w:rsidR="00EC0B3E">
        <w:rPr>
          <w:bCs/>
          <w:color w:val="000000" w:themeColor="text1"/>
          <w:u w:color="000000" w:themeColor="text1"/>
        </w:rPr>
        <w:noBreakHyphen/>
      </w:r>
      <w:r w:rsidRPr="004470ED">
        <w:rPr>
          <w:bCs/>
          <w:color w:val="000000" w:themeColor="text1"/>
          <w:u w:color="000000" w:themeColor="text1"/>
        </w:rPr>
        <w:t>inducing drug</w:t>
      </w:r>
      <w:r w:rsidR="00EC0B3E">
        <w:rPr>
          <w:color w:val="000000" w:themeColor="text1"/>
          <w:u w:color="000000" w:themeColor="text1"/>
        </w:rPr>
        <w:t>’</w:t>
      </w:r>
      <w:r w:rsidRPr="004470ED">
        <w:rPr>
          <w:color w:val="000000" w:themeColor="text1"/>
          <w:u w:color="000000" w:themeColor="text1"/>
        </w:rPr>
        <w:t xml:space="preserve">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00EC0B3E">
        <w:rPr>
          <w:color w:val="000000" w:themeColor="text1"/>
          <w:u w:color="000000" w:themeColor="text1"/>
        </w:rPr>
        <w:noBreakHyphen/>
      </w:r>
      <w:r w:rsidRPr="004470ED">
        <w:rPr>
          <w:color w:val="000000" w:themeColor="text1"/>
          <w:u w:color="000000" w:themeColor="text1"/>
        </w:rPr>
        <w:t>label use of drugs known to have abortion</w:t>
      </w:r>
      <w:r w:rsidR="00EC0B3E">
        <w:rPr>
          <w:color w:val="000000" w:themeColor="text1"/>
          <w:u w:color="000000" w:themeColor="text1"/>
        </w:rPr>
        <w:noBreakHyphen/>
      </w:r>
      <w:r w:rsidRPr="004470ED">
        <w:rPr>
          <w:color w:val="000000" w:themeColor="text1"/>
          <w:u w:color="000000" w:themeColor="text1"/>
        </w:rPr>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00EC0B3E">
        <w:rPr>
          <w:bCs/>
          <w:color w:val="000000" w:themeColor="text1"/>
          <w:u w:color="000000" w:themeColor="text1"/>
        </w:rPr>
        <w:t>‘</w:t>
      </w:r>
      <w:r w:rsidRPr="004470ED">
        <w:rPr>
          <w:bCs/>
          <w:color w:val="000000" w:themeColor="text1"/>
          <w:u w:color="000000" w:themeColor="text1"/>
        </w:rPr>
        <w:t>medical</w:t>
      </w:r>
      <w:r w:rsidR="00EC0B3E">
        <w:rPr>
          <w:bCs/>
          <w:color w:val="000000" w:themeColor="text1"/>
          <w:u w:color="000000" w:themeColor="text1"/>
        </w:rPr>
        <w:t>’</w:t>
      </w:r>
      <w:r w:rsidRPr="004470ED">
        <w:rPr>
          <w:bCs/>
          <w:color w:val="000000" w:themeColor="text1"/>
          <w:u w:color="000000" w:themeColor="text1"/>
        </w:rPr>
        <w:t>,</w:t>
      </w:r>
      <w:r w:rsidR="00EC0B3E">
        <w:rPr>
          <w:bCs/>
          <w:color w:val="000000" w:themeColor="text1"/>
          <w:u w:color="000000" w:themeColor="text1"/>
        </w:rPr>
        <w:t xml:space="preserve"> ‘</w:t>
      </w:r>
      <w:r w:rsidRPr="004470ED">
        <w:rPr>
          <w:bCs/>
          <w:color w:val="000000" w:themeColor="text1"/>
          <w:u w:color="000000" w:themeColor="text1"/>
        </w:rPr>
        <w:t>drug</w:t>
      </w:r>
      <w:r w:rsidR="00EC0B3E">
        <w:rPr>
          <w:bCs/>
          <w:color w:val="000000" w:themeColor="text1"/>
          <w:u w:color="000000" w:themeColor="text1"/>
        </w:rPr>
        <w:noBreakHyphen/>
      </w:r>
      <w:r w:rsidRPr="004470ED">
        <w:rPr>
          <w:bCs/>
          <w:color w:val="000000" w:themeColor="text1"/>
          <w:u w:color="000000" w:themeColor="text1"/>
        </w:rPr>
        <w:t>induced</w:t>
      </w:r>
      <w:r w:rsidR="00EC0B3E">
        <w:rPr>
          <w:bCs/>
          <w:color w:val="000000" w:themeColor="text1"/>
          <w:u w:color="000000" w:themeColor="text1"/>
        </w:rPr>
        <w:t>’</w:t>
      </w:r>
      <w:r w:rsidRPr="004470ED">
        <w:rPr>
          <w:bCs/>
          <w:color w:val="000000" w:themeColor="text1"/>
          <w:u w:color="000000" w:themeColor="text1"/>
        </w:rPr>
        <w:t xml:space="preserve">, and/or </w:t>
      </w:r>
      <w:r w:rsidR="00EC0B3E">
        <w:rPr>
          <w:bCs/>
          <w:color w:val="000000" w:themeColor="text1"/>
          <w:u w:color="000000" w:themeColor="text1"/>
        </w:rPr>
        <w:t>‘</w:t>
      </w:r>
      <w:r w:rsidRPr="004470ED">
        <w:rPr>
          <w:bCs/>
          <w:color w:val="000000" w:themeColor="text1"/>
          <w:u w:color="000000" w:themeColor="text1"/>
        </w:rPr>
        <w:t>chemical abortion</w:t>
      </w:r>
      <w:r w:rsidR="00EC0B3E">
        <w:rPr>
          <w:bCs/>
          <w:color w:val="000000" w:themeColor="text1"/>
          <w:u w:color="000000" w:themeColor="text1"/>
        </w:rPr>
        <w:t>’</w:t>
      </w:r>
      <w:r w:rsidRPr="004470ED">
        <w:rPr>
          <w:bCs/>
          <w:color w:val="000000" w:themeColor="text1"/>
          <w:u w:color="000000" w:themeColor="text1"/>
        </w:rPr>
        <w:t>.</w:t>
      </w: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t>(q)</w:t>
      </w:r>
      <w:r>
        <w:rPr>
          <w:bCs/>
          <w:color w:val="000000" w:themeColor="text1"/>
          <w:u w:color="000000" w:themeColor="text1"/>
        </w:rPr>
        <w:tab/>
        <w:t>‘</w:t>
      </w:r>
      <w:r w:rsidR="00C05987" w:rsidRPr="004470ED">
        <w:rPr>
          <w:bCs/>
          <w:color w:val="000000" w:themeColor="text1"/>
          <w:u w:color="000000" w:themeColor="text1"/>
        </w:rPr>
        <w:t>Final printed labeling (FPL)</w:t>
      </w:r>
      <w:r>
        <w:rPr>
          <w:bCs/>
          <w:color w:val="000000" w:themeColor="text1"/>
          <w:u w:color="000000" w:themeColor="text1"/>
        </w:rPr>
        <w:t>’</w:t>
      </w:r>
      <w:r w:rsidR="00C05987" w:rsidRPr="004470ED">
        <w:rPr>
          <w:bCs/>
          <w:color w:val="000000" w:themeColor="text1"/>
          <w:u w:color="000000" w:themeColor="text1"/>
        </w:rPr>
        <w:t xml:space="preserve"> means the Food and Drug Association</w:t>
      </w:r>
      <w:r>
        <w:rPr>
          <w:bCs/>
          <w:color w:val="000000" w:themeColor="text1"/>
          <w:u w:color="000000" w:themeColor="text1"/>
        </w:rPr>
        <w:noBreakHyphen/>
      </w:r>
      <w:r w:rsidR="00C05987" w:rsidRPr="004470ED">
        <w:rPr>
          <w:bCs/>
          <w:color w:val="000000" w:themeColor="text1"/>
          <w:u w:color="000000" w:themeColor="text1"/>
        </w:rPr>
        <w:t>approved informational document for an abortion</w:t>
      </w:r>
      <w:r>
        <w:rPr>
          <w:bCs/>
          <w:color w:val="000000" w:themeColor="text1"/>
          <w:u w:color="000000" w:themeColor="text1"/>
        </w:rPr>
        <w:noBreakHyphen/>
      </w:r>
      <w:r w:rsidR="00C05987" w:rsidRPr="004470ED">
        <w:rPr>
          <w:bCs/>
          <w:color w:val="000000" w:themeColor="text1"/>
          <w:u w:color="000000" w:themeColor="text1"/>
        </w:rPr>
        <w:t>inducing drug which outlines the protocol authorized by the FDA and agreed upon by the drug company applying for Food and Drug Administration (FDA) authorization of that drug.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t>(r)</w:t>
      </w:r>
      <w:r w:rsidRPr="004470ED">
        <w:rPr>
          <w:bCs/>
          <w:color w:val="000000" w:themeColor="text1"/>
          <w:u w:color="000000" w:themeColor="text1"/>
        </w:rPr>
        <w:tab/>
      </w:r>
      <w:r w:rsidR="00EC0B3E">
        <w:rPr>
          <w:bCs/>
          <w:color w:val="000000" w:themeColor="text1"/>
          <w:u w:color="000000" w:themeColor="text1"/>
        </w:rPr>
        <w:t>‘</w:t>
      </w:r>
      <w:r w:rsidRPr="004470ED">
        <w:rPr>
          <w:bCs/>
          <w:color w:val="000000" w:themeColor="text1"/>
          <w:szCs w:val="23"/>
          <w:u w:color="000000" w:themeColor="text1"/>
        </w:rPr>
        <w:t>LMP</w:t>
      </w:r>
      <w:r w:rsidR="00EC0B3E">
        <w:rPr>
          <w:bCs/>
          <w:color w:val="000000" w:themeColor="text1"/>
          <w:szCs w:val="23"/>
          <w:u w:color="000000" w:themeColor="text1"/>
        </w:rPr>
        <w:t>’</w:t>
      </w:r>
      <w:r w:rsidRPr="004470ED">
        <w:rPr>
          <w:color w:val="000000" w:themeColor="text1"/>
          <w:szCs w:val="23"/>
          <w:u w:color="000000" w:themeColor="text1"/>
        </w:rPr>
        <w:t xml:space="preserve"> or </w:t>
      </w:r>
      <w:r w:rsidR="00EC0B3E">
        <w:rPr>
          <w:color w:val="000000" w:themeColor="text1"/>
          <w:szCs w:val="23"/>
          <w:u w:color="000000" w:themeColor="text1"/>
        </w:rPr>
        <w:t>‘</w:t>
      </w:r>
      <w:r w:rsidRPr="004470ED">
        <w:rPr>
          <w:bCs/>
          <w:color w:val="000000" w:themeColor="text1"/>
          <w:szCs w:val="23"/>
          <w:u w:color="000000" w:themeColor="text1"/>
        </w:rPr>
        <w:t>gestational age</w:t>
      </w:r>
      <w:r w:rsidR="00EC0B3E">
        <w:rPr>
          <w:color w:val="000000" w:themeColor="text1"/>
          <w:szCs w:val="23"/>
          <w:u w:color="000000" w:themeColor="text1"/>
        </w:rPr>
        <w:t>’</w:t>
      </w:r>
      <w:r w:rsidRPr="004470ED">
        <w:rPr>
          <w:color w:val="000000" w:themeColor="text1"/>
          <w:szCs w:val="23"/>
          <w:u w:color="000000" w:themeColor="text1"/>
        </w:rPr>
        <w:t xml:space="preserve"> means the time that has elapsed since the first day of the woman</w:t>
      </w:r>
      <w:r w:rsidR="00EC0B3E" w:rsidRPr="00EC0B3E">
        <w:rPr>
          <w:color w:val="000000" w:themeColor="text1"/>
          <w:szCs w:val="23"/>
          <w:u w:color="000000" w:themeColor="text1"/>
        </w:rPr>
        <w:t>’</w:t>
      </w:r>
      <w:r w:rsidR="00EC0B3E">
        <w:rPr>
          <w:color w:val="000000" w:themeColor="text1"/>
          <w:szCs w:val="23"/>
          <w:u w:color="000000" w:themeColor="text1"/>
        </w:rPr>
        <w:t>s last menstrual period.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00EC0B3E">
        <w:rPr>
          <w:rFonts w:eastAsia="Times New Roman"/>
          <w:color w:val="000000" w:themeColor="text1"/>
          <w:u w:color="000000" w:themeColor="text1"/>
        </w:rPr>
        <w:t>(s)</w:t>
      </w:r>
      <w:r w:rsidR="00EC0B3E">
        <w:rPr>
          <w:rFonts w:eastAsia="Times New Roman"/>
          <w:color w:val="000000" w:themeColor="text1"/>
          <w:u w:color="000000" w:themeColor="text1"/>
        </w:rPr>
        <w:tab/>
        <w:t>‘</w:t>
      </w:r>
      <w:r w:rsidRPr="004470ED">
        <w:rPr>
          <w:rFonts w:eastAsia="Times New Roman"/>
          <w:color w:val="000000" w:themeColor="text1"/>
          <w:u w:color="000000" w:themeColor="text1"/>
        </w:rPr>
        <w:t>Mifeprex regimen</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regimen that involves administration of mif</w:t>
      </w:r>
      <w:r w:rsidR="00EC0B3E">
        <w:rPr>
          <w:rFonts w:eastAsia="Times New Roman"/>
          <w:color w:val="000000" w:themeColor="text1"/>
          <w:u w:color="000000" w:themeColor="text1"/>
        </w:rPr>
        <w:t>epristone (brand name ‘Mifeprex’</w:t>
      </w:r>
      <w:r w:rsidRPr="004470ED">
        <w:rPr>
          <w:rFonts w:eastAsia="Times New Roman"/>
          <w:color w:val="000000" w:themeColor="text1"/>
          <w:u w:color="000000" w:themeColor="text1"/>
        </w:rPr>
        <w:t>) and misoprostol. It is the only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regimen approved by the Food and Drug Administr</w:t>
      </w:r>
      <w:r w:rsidR="00EC0B3E">
        <w:rPr>
          <w:rFonts w:eastAsia="Times New Roman"/>
          <w:color w:val="000000" w:themeColor="text1"/>
          <w:u w:color="000000" w:themeColor="text1"/>
        </w:rPr>
        <w:t>ation. It is also known as the ‘</w:t>
      </w:r>
      <w:r w:rsidRPr="004470ED">
        <w:rPr>
          <w:rFonts w:eastAsia="Times New Roman"/>
          <w:color w:val="000000" w:themeColor="text1"/>
          <w:u w:color="000000" w:themeColor="text1"/>
        </w:rPr>
        <w:t>RU</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486 regimen</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or simply </w:t>
      </w:r>
      <w:r w:rsidR="00EC0B3E">
        <w:rPr>
          <w:rFonts w:eastAsia="Times New Roman"/>
          <w:color w:val="000000" w:themeColor="text1"/>
          <w:u w:color="000000" w:themeColor="text1"/>
        </w:rPr>
        <w:t>‘</w:t>
      </w:r>
      <w:r w:rsidRPr="004470ED">
        <w:rPr>
          <w:rFonts w:eastAsia="Times New Roman"/>
          <w:color w:val="000000" w:themeColor="text1"/>
          <w:u w:color="000000" w:themeColor="text1"/>
        </w:rPr>
        <w:t>RU</w:t>
      </w:r>
      <w:r w:rsidR="00EC0B3E">
        <w:rPr>
          <w:rFonts w:eastAsia="Times New Roman"/>
          <w:color w:val="000000" w:themeColor="text1"/>
          <w:u w:color="000000" w:themeColor="text1"/>
        </w:rPr>
        <w:noBreakHyphen/>
        <w:t>486’.</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00EC0B3E">
        <w:rPr>
          <w:rFonts w:eastAsia="Times New Roman"/>
          <w:color w:val="000000" w:themeColor="text1"/>
          <w:u w:color="000000" w:themeColor="text1"/>
        </w:rPr>
        <w:t>(t)</w:t>
      </w:r>
      <w:r w:rsidR="00EC0B3E">
        <w:rPr>
          <w:rFonts w:eastAsia="Times New Roman"/>
          <w:color w:val="000000" w:themeColor="text1"/>
          <w:u w:color="000000" w:themeColor="text1"/>
        </w:rPr>
        <w:tab/>
        <w:t>‘</w:t>
      </w:r>
      <w:r w:rsidRPr="004470ED">
        <w:rPr>
          <w:rFonts w:eastAsia="Times New Roman"/>
          <w:color w:val="000000" w:themeColor="text1"/>
          <w:u w:color="000000" w:themeColor="text1"/>
        </w:rPr>
        <w:t>Mifepristone</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first drug used in the Mifeprex regimen.</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4470ED">
        <w:rPr>
          <w:bCs/>
          <w:color w:val="000000" w:themeColor="text1"/>
          <w:u w:color="000000" w:themeColor="text1"/>
        </w:rPr>
        <w:tab/>
      </w:r>
      <w:r w:rsidRPr="004470ED">
        <w:rPr>
          <w:rFonts w:eastAsia="Times New Roman"/>
          <w:color w:val="000000" w:themeColor="text1"/>
          <w:u w:color="000000" w:themeColor="text1"/>
        </w:rPr>
        <w:t>(u)</w:t>
      </w:r>
      <w:r w:rsidRPr="004470ED">
        <w:rPr>
          <w:rFonts w:eastAsia="Times New Roman"/>
          <w:color w:val="000000" w:themeColor="text1"/>
          <w:u w:color="000000" w:themeColor="text1"/>
        </w:rPr>
        <w:tab/>
      </w:r>
      <w:r w:rsidR="00EC0B3E">
        <w:rPr>
          <w:rFonts w:eastAsia="Times New Roman"/>
          <w:color w:val="000000" w:themeColor="text1"/>
          <w:u w:color="000000" w:themeColor="text1"/>
        </w:rPr>
        <w:t>‘</w:t>
      </w:r>
      <w:r w:rsidRPr="004470ED">
        <w:rPr>
          <w:rFonts w:eastAsia="Times New Roman"/>
          <w:color w:val="000000" w:themeColor="text1"/>
          <w:u w:color="000000" w:themeColor="text1"/>
        </w:rPr>
        <w:t>Misoprostol</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means the second drug used in the Mifeprex regimen.</w:t>
      </w: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(v)</w:t>
      </w:r>
      <w:r>
        <w:rPr>
          <w:rFonts w:eastAsia="Times New Roman"/>
          <w:color w:val="000000" w:themeColor="text1"/>
          <w:u w:color="000000" w:themeColor="text1"/>
        </w:rPr>
        <w:tab/>
        <w:t>‘</w:t>
      </w:r>
      <w:r w:rsidR="00C05987" w:rsidRPr="004470ED">
        <w:rPr>
          <w:rFonts w:eastAsia="Times New Roman"/>
          <w:color w:val="000000" w:themeColor="text1"/>
          <w:u w:color="000000" w:themeColor="text1"/>
        </w:rPr>
        <w:t>Provide or prescribe</w:t>
      </w:r>
      <w:r>
        <w:rPr>
          <w:rFonts w:eastAsia="Times New Roman"/>
          <w:color w:val="000000" w:themeColor="text1"/>
          <w:u w:color="000000" w:themeColor="text1"/>
        </w:rPr>
        <w:t>’</w:t>
      </w:r>
      <w:r w:rsidR="00C05987" w:rsidRPr="004470ED">
        <w:rPr>
          <w:rFonts w:eastAsia="Times New Roman"/>
          <w:color w:val="000000" w:themeColor="text1"/>
          <w:u w:color="000000" w:themeColor="text1"/>
        </w:rPr>
        <w:t xml:space="preserve"> shall include give,</w:t>
      </w:r>
      <w:r>
        <w:rPr>
          <w:rFonts w:eastAsia="Times New Roman"/>
          <w:color w:val="000000" w:themeColor="text1"/>
          <w:u w:color="000000" w:themeColor="text1"/>
        </w:rPr>
        <w:t xml:space="preserve"> sell, dispense, or administer.”</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EC0B3E"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r>
      <w:r w:rsidR="00C05987" w:rsidRPr="004470ED">
        <w:rPr>
          <w:rFonts w:eastAsia="Times New Roman"/>
          <w:color w:val="000000" w:themeColor="text1"/>
          <w:u w:color="000000" w:themeColor="text1"/>
        </w:rPr>
        <w:t>2.</w:t>
      </w:r>
      <w:r w:rsidR="00C05987" w:rsidRPr="004470ED">
        <w:rPr>
          <w:rFonts w:eastAsia="Times New Roman"/>
          <w:color w:val="000000" w:themeColor="text1"/>
          <w:u w:color="000000" w:themeColor="text1"/>
        </w:rPr>
        <w:tab/>
        <w:t>Chapter 41, Title 44 of the 1976 Code is amended by adding: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“Section 44</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41</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90.</w:t>
      </w:r>
      <w:r w:rsidRPr="004470ED">
        <w:rPr>
          <w:rFonts w:eastAsia="Times New Roman"/>
          <w:color w:val="000000" w:themeColor="text1"/>
          <w:u w:color="000000" w:themeColor="text1"/>
        </w:rPr>
        <w:tab/>
        <w:t>(A)</w:t>
      </w:r>
      <w:r w:rsidRPr="004470ED">
        <w:rPr>
          <w:rFonts w:eastAsia="Times New Roman"/>
          <w:color w:val="000000" w:themeColor="text1"/>
          <w:u w:color="000000" w:themeColor="text1"/>
        </w:rPr>
        <w:tab/>
        <w:t>It shall be unlawful to knowingly provide or prescribe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to a pregnant woman for the purpose of inducing an abortion in that pregnant woman or enabling another person to induce an abortion in a pregnant woman, unless the person who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is a physician and the provision or prescription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satisfies the protocol authorized by the United States Food and Drug Administration (FDA), as outlined in the final printed labeling (FPL) for the drug or drug regimen. In the case of the Mifeprex regimen, the Mifeprex label includes the FDA</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approved dosage and administration instructions for both mifepristone (Mifeprex) and misoprostol.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(B)</w:t>
      </w:r>
      <w:r w:rsidRPr="004470ED">
        <w:rPr>
          <w:rFonts w:eastAsia="Times New Roman"/>
          <w:color w:val="000000" w:themeColor="text1"/>
          <w:u w:color="000000" w:themeColor="text1"/>
        </w:rPr>
        <w:tab/>
        <w:t>Because the failure and complication rates from medical abortion increase with advancing gestational age, because the physical symptoms of medical abortion can be identical to the symptoms of ectopic pregnancy, and because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drugs do not treat ectopic pregnancies but rather are contraindicated in ectopic pregnancies, the physician providing</w:t>
      </w:r>
      <w:r w:rsidR="00161460">
        <w:rPr>
          <w:rFonts w:eastAsia="Times New Roman"/>
          <w:color w:val="000000" w:themeColor="text1"/>
          <w:u w:color="000000" w:themeColor="text1"/>
        </w:rPr>
        <w:t xml:space="preserve"> or prescribing</w:t>
      </w:r>
      <w:r w:rsidRPr="004470ED">
        <w:rPr>
          <w:rFonts w:eastAsia="Times New Roman"/>
          <w:color w:val="000000" w:themeColor="text1"/>
          <w:u w:color="000000" w:themeColor="text1"/>
        </w:rPr>
        <w:t xml:space="preserve">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must first examine the woman and document, in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medical chart, gestational age and intrauterine location of the pregnancy prior to providing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(C)</w:t>
      </w:r>
      <w:r w:rsidRPr="004470ED">
        <w:rPr>
          <w:rFonts w:eastAsia="Times New Roman"/>
          <w:color w:val="000000" w:themeColor="text1"/>
          <w:u w:color="000000" w:themeColor="text1"/>
        </w:rPr>
        <w:tab/>
        <w:t xml:space="preserve">Every pregnant woman to whom a physician </w:t>
      </w:r>
      <w:r w:rsidR="00471C95">
        <w:rPr>
          <w:rFonts w:eastAsia="Times New Roman"/>
          <w:color w:val="000000" w:themeColor="text1"/>
          <w:u w:color="000000" w:themeColor="text1"/>
        </w:rPr>
        <w:t>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shall be provided with a copy of the drug</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label.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(D)</w:t>
      </w:r>
      <w:r w:rsidRPr="004470ED">
        <w:rPr>
          <w:rFonts w:eastAsia="Times New Roman"/>
          <w:color w:val="000000" w:themeColor="text1"/>
          <w:u w:color="000000" w:themeColor="text1"/>
        </w:rPr>
        <w:tab/>
        <w:t xml:space="preserve">The physician providing </w:t>
      </w:r>
      <w:r w:rsidR="00161460">
        <w:rPr>
          <w:rFonts w:eastAsia="Times New Roman"/>
          <w:color w:val="000000" w:themeColor="text1"/>
          <w:u w:color="000000" w:themeColor="text1"/>
        </w:rPr>
        <w:t xml:space="preserve">or prescribing </w:t>
      </w:r>
      <w:r w:rsidRPr="004470ED">
        <w:rPr>
          <w:rFonts w:eastAsia="Times New Roman"/>
          <w:color w:val="000000" w:themeColor="text1"/>
          <w:u w:color="000000" w:themeColor="text1"/>
        </w:rPr>
        <w:t>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 xml:space="preserve">inducing drug must have a signed contract with a physician who agrees to treat complications and must be able to produce that signed contract on demand by the patient or by the department. The physician who contracts to </w:t>
      </w:r>
      <w:r w:rsidR="00471C95">
        <w:rPr>
          <w:rFonts w:eastAsia="Times New Roman"/>
          <w:color w:val="000000" w:themeColor="text1"/>
          <w:u w:color="000000" w:themeColor="text1"/>
        </w:rPr>
        <w:t>treat</w:t>
      </w:r>
      <w:r w:rsidRPr="004470ED">
        <w:rPr>
          <w:rFonts w:eastAsia="Times New Roman"/>
          <w:color w:val="000000" w:themeColor="text1"/>
          <w:u w:color="000000" w:themeColor="text1"/>
        </w:rPr>
        <w:t xml:space="preserve"> emergencies must have active admitting privileges and gynecological or surgical privileges at a hospital designated to treat any emergencies associated with the use or ingestion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Every pregnant woman to whom a physician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 xml:space="preserve">inducing drug shall receive the name and phone number of the contracted physician and the hospital at which that physician maintains admitting privileges can </w:t>
      </w:r>
      <w:r w:rsidR="00161460">
        <w:rPr>
          <w:rFonts w:eastAsia="Times New Roman"/>
          <w:color w:val="000000" w:themeColor="text1"/>
          <w:u w:color="000000" w:themeColor="text1"/>
        </w:rPr>
        <w:t>treat</w:t>
      </w:r>
      <w:r w:rsidRPr="004470ED">
        <w:rPr>
          <w:rFonts w:eastAsia="Times New Roman"/>
          <w:color w:val="000000" w:themeColor="text1"/>
          <w:u w:color="000000" w:themeColor="text1"/>
        </w:rPr>
        <w:t xml:space="preserve"> any emergencies.</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(E)</w:t>
      </w:r>
      <w:r w:rsidRPr="004470ED">
        <w:rPr>
          <w:rFonts w:eastAsia="Times New Roman"/>
          <w:color w:val="000000" w:themeColor="text1"/>
          <w:u w:color="000000" w:themeColor="text1"/>
        </w:rPr>
        <w:tab/>
        <w:t xml:space="preserve">The physician providing </w:t>
      </w:r>
      <w:r w:rsidR="00161460">
        <w:rPr>
          <w:rFonts w:eastAsia="Times New Roman"/>
          <w:color w:val="000000" w:themeColor="text1"/>
          <w:u w:color="000000" w:themeColor="text1"/>
        </w:rPr>
        <w:t xml:space="preserve">or prescribing </w:t>
      </w:r>
      <w:r w:rsidRPr="004470ED">
        <w:rPr>
          <w:rFonts w:eastAsia="Times New Roman"/>
          <w:color w:val="000000" w:themeColor="text1"/>
          <w:u w:color="000000" w:themeColor="text1"/>
        </w:rPr>
        <w:t>any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or an agent of the physician, must schedule a follow</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up visit for the woman at approximately fourteen days after administration of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to confirm that the pregnancy is completely terminated and to assess the degree of bleeding. The physician or agent of the physician shall make all reasonable efforts to ensure that the woman returns for the scheduled appointment. A brief description of the efforts made to comply with this subsection, including the date, time, and identification by name of the person making the efforts, shall be included in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medical record.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(F)</w:t>
      </w:r>
      <w:r w:rsidRPr="004470ED">
        <w:rPr>
          <w:rFonts w:eastAsia="Times New Roman"/>
          <w:color w:val="000000" w:themeColor="text1"/>
          <w:u w:color="000000" w:themeColor="text1"/>
        </w:rPr>
        <w:tab/>
        <w:t>If a physician provides</w:t>
      </w:r>
      <w:r w:rsidR="00161460">
        <w:rPr>
          <w:rFonts w:eastAsia="Times New Roman"/>
          <w:color w:val="000000" w:themeColor="text1"/>
          <w:u w:color="000000" w:themeColor="text1"/>
        </w:rPr>
        <w:t xml:space="preserve"> or prescribes</w:t>
      </w:r>
      <w:r w:rsidRPr="004470ED">
        <w:rPr>
          <w:rFonts w:eastAsia="Times New Roman"/>
          <w:color w:val="000000" w:themeColor="text1"/>
          <w:u w:color="000000" w:themeColor="text1"/>
        </w:rPr>
        <w:t xml:space="preserve"> an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to another for the purpose of inducing an abortion as authorized in section (A), and if the physician knows that the woman who uses the abortion</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inducing drug for the purpose of inducing an abortion experiences an adverse event during or after the drug</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 xml:space="preserve">s use, the physician shall provide a written report of the adverse event within three days of the event to the FDA via the Medwatch Reporting System and </w:t>
      </w:r>
      <w:r w:rsidR="00EC0B3E">
        <w:rPr>
          <w:rFonts w:eastAsia="Times New Roman"/>
          <w:color w:val="000000" w:themeColor="text1"/>
          <w:u w:color="000000" w:themeColor="text1"/>
        </w:rPr>
        <w:t>to the State Medical Board. An ‘</w:t>
      </w:r>
      <w:r w:rsidRPr="004470ED">
        <w:rPr>
          <w:rFonts w:eastAsia="Times New Roman"/>
          <w:color w:val="000000" w:themeColor="text1"/>
          <w:u w:color="000000" w:themeColor="text1"/>
        </w:rPr>
        <w:t>adverse event</w:t>
      </w:r>
      <w:r w:rsidR="00EC0B3E">
        <w:rPr>
          <w:rFonts w:eastAsia="Times New Roman"/>
          <w:color w:val="000000" w:themeColor="text1"/>
          <w:u w:color="000000" w:themeColor="text1"/>
        </w:rPr>
        <w:t>’</w:t>
      </w:r>
      <w:r w:rsidRPr="004470ED">
        <w:rPr>
          <w:rFonts w:eastAsia="Times New Roman"/>
          <w:color w:val="000000" w:themeColor="text1"/>
          <w:u w:color="000000" w:themeColor="text1"/>
        </w:rPr>
        <w:t xml:space="preserve"> shall be defined for purposes of this section according to the FDA criteria given in the Medwatch Reporting System.</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rFonts w:eastAsia="Times New Roman"/>
          <w:color w:val="000000" w:themeColor="text1"/>
          <w:u w:color="000000" w:themeColor="text1"/>
        </w:rPr>
        <w:tab/>
        <w:t>(G)</w:t>
      </w:r>
      <w:r w:rsidRPr="004470ED">
        <w:rPr>
          <w:rFonts w:eastAsia="Times New Roman"/>
          <w:color w:val="000000" w:themeColor="text1"/>
          <w:u w:color="000000" w:themeColor="text1"/>
        </w:rPr>
        <w:tab/>
        <w:t>A person who knowingly violates any provision of this section is guilty of a felony</w:t>
      </w:r>
      <w:r w:rsidRPr="004470ED">
        <w:rPr>
          <w:color w:val="000000" w:themeColor="text1"/>
          <w:u w:color="000000" w:themeColor="text1"/>
        </w:rPr>
        <w:t xml:space="preserve"> and, upon conviction, shall be punished by imprisonment for a term of not less than two nor more than five years or fined not more than five thousand dollars, or both. Provided, that the provisions of this item shall not apply to any woman upon whom an abortion has been attempted or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color w:val="000000" w:themeColor="text1"/>
          <w:u w:color="000000" w:themeColor="text1"/>
        </w:rPr>
        <w:tab/>
      </w:r>
      <w:r w:rsidRPr="004470ED">
        <w:rPr>
          <w:rFonts w:eastAsia="Times New Roman"/>
          <w:color w:val="000000" w:themeColor="text1"/>
          <w:u w:color="000000" w:themeColor="text1"/>
        </w:rPr>
        <w:t>(H)</w:t>
      </w:r>
      <w:r w:rsidRPr="004470ED">
        <w:rPr>
          <w:rFonts w:eastAsia="Times New Roman"/>
          <w:color w:val="000000" w:themeColor="text1"/>
          <w:u w:color="000000" w:themeColor="text1"/>
        </w:rPr>
        <w:tab/>
        <w:t>In addition to whatever remedies are available under the common or statutory law of this State, failure to comply with the requirements of this section shall:</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(1)</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a civil malpractice action for actual and punitive damages;</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(2)</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a professional disciplinary action; and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r>
      <w:r w:rsidRPr="004470ED">
        <w:rPr>
          <w:rFonts w:eastAsia="Times New Roman"/>
          <w:color w:val="000000" w:themeColor="text1"/>
          <w:u w:color="000000" w:themeColor="text1"/>
        </w:rPr>
        <w:tab/>
        <w:t>(3)</w:t>
      </w:r>
      <w:r w:rsidR="00161460">
        <w:rPr>
          <w:rFonts w:eastAsia="Times New Roman"/>
          <w:color w:val="000000" w:themeColor="text1"/>
          <w:u w:color="000000" w:themeColor="text1"/>
        </w:rPr>
        <w:tab/>
      </w:r>
      <w:r w:rsidRPr="004470ED">
        <w:rPr>
          <w:rFonts w:eastAsia="Times New Roman"/>
          <w:color w:val="000000" w:themeColor="text1"/>
          <w:u w:color="000000" w:themeColor="text1"/>
        </w:rPr>
        <w:t>provide a basis for recovery for the woman</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survivors for the wrongful death of the woman.</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(I)</w:t>
      </w:r>
      <w:r w:rsidRPr="004470ED">
        <w:rPr>
          <w:rFonts w:eastAsia="Times New Roman"/>
          <w:color w:val="000000" w:themeColor="text1"/>
          <w:u w:color="000000" w:themeColor="text1"/>
        </w:rPr>
        <w:tab/>
        <w:t>No civil liability may be assessed against the pregnant woman upon whom the drug</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induced abortion is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(J)</w:t>
      </w:r>
      <w:r w:rsidRPr="004470ED">
        <w:rPr>
          <w:rFonts w:eastAsia="Times New Roman"/>
          <w:color w:val="000000" w:themeColor="text1"/>
          <w:u w:color="000000" w:themeColor="text1"/>
        </w:rPr>
        <w:tab/>
        <w:t>When requested, the court shall allow a woman to proceed using solely her initials or a pseudonym and may close any proceedings in the case and enter other protective orders to preserve the privacy of the woman upon whom the drug</w:t>
      </w:r>
      <w:r w:rsidR="00EC0B3E">
        <w:rPr>
          <w:rFonts w:eastAsia="Times New Roman"/>
          <w:color w:val="000000" w:themeColor="text1"/>
          <w:u w:color="000000" w:themeColor="text1"/>
        </w:rPr>
        <w:noBreakHyphen/>
      </w:r>
      <w:r w:rsidRPr="004470ED">
        <w:rPr>
          <w:rFonts w:eastAsia="Times New Roman"/>
          <w:color w:val="000000" w:themeColor="text1"/>
          <w:u w:color="000000" w:themeColor="text1"/>
        </w:rPr>
        <w:t>induced abortion was performed.</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70ED">
        <w:rPr>
          <w:rFonts w:eastAsia="Times New Roman"/>
          <w:color w:val="000000" w:themeColor="text1"/>
          <w:u w:color="000000" w:themeColor="text1"/>
        </w:rPr>
        <w:tab/>
        <w:t>(K)</w:t>
      </w:r>
      <w:r w:rsidRPr="004470ED">
        <w:rPr>
          <w:rFonts w:eastAsia="Times New Roman"/>
          <w:color w:val="000000" w:themeColor="text1"/>
          <w:u w:color="000000" w:themeColor="text1"/>
        </w:rPr>
        <w:tab/>
        <w:t>If judgment is rendered in favor of the plaintiff, the court shall also render judgment for a reasonable attorney</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fee in favor of the plaintiff against the defendant. If judgment is rendered in favor of the defendant and the court finds that the plaintiff</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suit was frivolous and brought in bad faith, the court shall also render judgment for reasonable attorney</w:t>
      </w:r>
      <w:r w:rsidR="00EC0B3E" w:rsidRPr="00EC0B3E">
        <w:rPr>
          <w:rFonts w:eastAsia="Times New Roman"/>
          <w:color w:val="000000" w:themeColor="text1"/>
          <w:u w:color="000000" w:themeColor="text1"/>
        </w:rPr>
        <w:t>’</w:t>
      </w:r>
      <w:r w:rsidRPr="004470ED">
        <w:rPr>
          <w:rFonts w:eastAsia="Times New Roman"/>
          <w:color w:val="000000" w:themeColor="text1"/>
          <w:u w:color="000000" w:themeColor="text1"/>
        </w:rPr>
        <w:t>s fee in favor of the defendant against the plaintiff.”</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470ED">
        <w:rPr>
          <w:rFonts w:eastAsia="Times New Roman"/>
          <w:color w:val="000000" w:themeColor="text1"/>
          <w:u w:color="000000" w:themeColor="text1"/>
        </w:rPr>
        <w:t>SECTION</w:t>
      </w:r>
      <w:r w:rsidRPr="004470ED">
        <w:rPr>
          <w:rFonts w:eastAsia="Times New Roman"/>
          <w:color w:val="000000" w:themeColor="text1"/>
          <w:u w:color="000000" w:themeColor="text1"/>
        </w:rPr>
        <w:tab/>
        <w:t>3.</w:t>
      </w:r>
      <w:r w:rsidRPr="004470ED">
        <w:rPr>
          <w:rFonts w:eastAsia="Times New Roman"/>
          <w:color w:val="000000" w:themeColor="text1"/>
          <w:u w:color="000000" w:themeColor="text1"/>
        </w:rPr>
        <w:tab/>
      </w:r>
      <w:r w:rsidRPr="004470ED">
        <w:rPr>
          <w:color w:val="000000" w:themeColor="text1"/>
          <w:u w:color="000000" w:themeColor="text1"/>
        </w:rPr>
        <w:t xml:space="preserve">If any provision, word, phrase, or clause of </w:t>
      </w:r>
      <w:r w:rsidR="00161460">
        <w:rPr>
          <w:color w:val="000000" w:themeColor="text1"/>
          <w:u w:color="000000" w:themeColor="text1"/>
        </w:rPr>
        <w:t>this act</w:t>
      </w:r>
      <w:r w:rsidRPr="004470ED">
        <w:rPr>
          <w:color w:val="000000" w:themeColor="text1"/>
          <w:u w:color="000000" w:themeColor="text1"/>
        </w:rPr>
        <w:t xml:space="preserve"> or the application thereof to any person or circumstance is held invalid, such invalidity shall not affect the provisions, words, phrases, clauses, or applications of </w:t>
      </w:r>
      <w:r w:rsidR="00161460">
        <w:rPr>
          <w:color w:val="000000" w:themeColor="text1"/>
          <w:u w:color="000000" w:themeColor="text1"/>
        </w:rPr>
        <w:t>this act</w:t>
      </w:r>
      <w:r w:rsidRPr="004470ED">
        <w:rPr>
          <w:color w:val="000000" w:themeColor="text1"/>
          <w:u w:color="000000" w:themeColor="text1"/>
        </w:rPr>
        <w:t xml:space="preserve"> which can be given effect without the invalid provision, word, phrase, clause, or application, and, to this end, the provisions, words, phrases, and clauses of </w:t>
      </w:r>
      <w:r w:rsidR="00161460">
        <w:rPr>
          <w:color w:val="000000" w:themeColor="text1"/>
          <w:u w:color="000000" w:themeColor="text1"/>
        </w:rPr>
        <w:t>this act</w:t>
      </w:r>
      <w:r w:rsidR="00EC0B3E">
        <w:rPr>
          <w:color w:val="000000" w:themeColor="text1"/>
          <w:u w:color="000000" w:themeColor="text1"/>
        </w:rPr>
        <w:t xml:space="preserve"> are declared to be severable.</w:t>
      </w:r>
    </w:p>
    <w:p w:rsidR="00C05987" w:rsidRPr="004470ED" w:rsidRDefault="00C05987" w:rsidP="00C059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70ABF" w:rsidRPr="00EC0B3E" w:rsidRDefault="00770ABF" w:rsidP="00770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D74F1">
        <w:rPr>
          <w:rFonts w:eastAsia="Times New Roman"/>
          <w:color w:val="000000" w:themeColor="text1"/>
          <w:u w:color="000000" w:themeColor="text1"/>
        </w:rPr>
        <w:t>SECTION</w:t>
      </w:r>
      <w:r w:rsidRPr="008D74F1">
        <w:rPr>
          <w:rFonts w:eastAsia="Times New Roman"/>
          <w:color w:val="000000" w:themeColor="text1"/>
          <w:u w:color="000000" w:themeColor="text1"/>
        </w:rPr>
        <w:tab/>
      </w:r>
      <w:r w:rsidR="00C05987">
        <w:rPr>
          <w:rFonts w:eastAsia="Times New Roman"/>
          <w:color w:val="000000" w:themeColor="text1"/>
          <w:u w:color="000000" w:themeColor="text1"/>
        </w:rPr>
        <w:t>4</w:t>
      </w:r>
      <w:r w:rsidRPr="008D74F1">
        <w:rPr>
          <w:rFonts w:eastAsia="Times New Roman"/>
          <w:color w:val="000000" w:themeColor="text1"/>
          <w:u w:color="000000" w:themeColor="text1"/>
        </w:rPr>
        <w:t>.</w:t>
      </w:r>
      <w:r w:rsidRPr="008D74F1">
        <w:rPr>
          <w:rFonts w:eastAsia="Times New Roman"/>
          <w:color w:val="000000" w:themeColor="text1"/>
          <w:u w:color="000000" w:themeColor="text1"/>
        </w:rPr>
        <w:tab/>
        <w:t>This act takes effect upon approval by the Governor.</w:t>
      </w:r>
    </w:p>
    <w:p w:rsidR="004301A2" w:rsidRDefault="00EC0B3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41E4C" w:rsidRDefault="00641E4C" w:rsidP="00641E4C">
      <w:pPr>
        <w:suppressAutoHyphens/>
        <w:jc w:val="both"/>
        <w:rPr>
          <w:rFonts w:eastAsia="Times New Roman"/>
        </w:rPr>
      </w:pPr>
    </w:p>
    <w:sectPr w:rsidR="00641E4C" w:rsidSect="00641E4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CD9" w:rsidRDefault="00824CD9" w:rsidP="00522CE0">
      <w:r>
        <w:separator/>
      </w:r>
    </w:p>
  </w:endnote>
  <w:endnote w:type="continuationSeparator" w:id="0">
    <w:p w:rsidR="00824CD9" w:rsidRDefault="00824CD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7AF2FF7-5E8A-4ED9-B2B8-BE8643D45FD2}"/>
    <w:embedBold r:id="rId2" w:fontKey="{A49F5FF9-B4F5-4644-B1BE-241D9B3047A5}"/>
  </w:font>
  <w:font w:name="Calibri">
    <w:panose1 w:val="020F0502020204030204"/>
    <w:charset w:val="00"/>
    <w:family w:val="swiss"/>
    <w:pitch w:val="variable"/>
    <w:sig w:usb0="E00002FF" w:usb1="4000ACFF" w:usb2="00000001" w:usb3="00000000" w:csb0="0000019F" w:csb1="00000000"/>
    <w:embedRegular r:id="rId3" w:fontKey="{A7AAF403-CAF0-435B-BB5B-C7C0CCBD23F1}"/>
    <w:embedBold r:id="rId4" w:fontKey="{35E19CD3-EC82-454D-9036-3E2ED2C8DD90}"/>
  </w:font>
  <w:font w:name="Cambria">
    <w:panose1 w:val="02040503050406030204"/>
    <w:charset w:val="00"/>
    <w:family w:val="roman"/>
    <w:pitch w:val="variable"/>
    <w:sig w:usb0="E00002FF" w:usb1="400004FF" w:usb2="00000000" w:usb3="00000000" w:csb0="0000019F" w:csb1="00000000"/>
    <w:embedRegular r:id="rId5" w:fontKey="{E1AFB3C8-82EC-4DBF-9FB9-A34A2A6AEC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E4C" w:rsidRPr="002A4ED3" w:rsidRDefault="00641E4C" w:rsidP="002A4ED3">
    <w:pPr>
      <w:pStyle w:val="Footer"/>
      <w:tabs>
        <w:tab w:val="clear" w:pos="4680"/>
        <w:tab w:val="clear" w:pos="9360"/>
        <w:tab w:val="center" w:pos="2995"/>
      </w:tabs>
      <w:spacing w:before="120"/>
    </w:pPr>
    <w:r>
      <w:t>[34]</w:t>
    </w:r>
    <w:r>
      <w:tab/>
    </w:r>
    <w:r>
      <w:fldChar w:fldCharType="begin"/>
    </w:r>
    <w:r>
      <w:instrText xml:space="preserve"> PAGE  \* MERGEFORMAT </w:instrText>
    </w:r>
    <w:r>
      <w:fldChar w:fldCharType="separate"/>
    </w:r>
    <w:r w:rsidR="00463E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CD9" w:rsidRDefault="00824CD9" w:rsidP="00522CE0">
      <w:r>
        <w:separator/>
      </w:r>
    </w:p>
  </w:footnote>
  <w:footnote w:type="continuationSeparator" w:id="0">
    <w:p w:rsidR="00824CD9" w:rsidRDefault="00824CD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ABOR.KSG.KLB"/>
    <w:docVar w:name="CoverAttorneyInitials" w:val="KSG"/>
    <w:docVar w:name="CoverAttorneyLastName" w:val="Kara Grevey"/>
    <w:docVar w:name="CoverBillType" w:val="b"/>
    <w:docVar w:name="CoverSenator" w:val="KLB"/>
    <w:docVar w:name="dvBillNumber" w:val="34"/>
    <w:docVar w:name="dvBillNumberPrefix" w:val="S. "/>
    <w:docVar w:name="dvOriginalBody" w:val="Senate"/>
    <w:docVar w:name="fulldraftpath" w:val="L:\S-RES\KLB\010ABOR.KSG.KLB.DOCX"/>
    <w:docVar w:name="NameofBody" w:val="S"/>
    <w:docVar w:name="vgroup2" w:val="S-RES"/>
  </w:docVars>
  <w:rsids>
    <w:rsidRoot w:val="00BF041C"/>
    <w:rsid w:val="00042AC1"/>
    <w:rsid w:val="00046516"/>
    <w:rsid w:val="0007601D"/>
    <w:rsid w:val="000B0720"/>
    <w:rsid w:val="000B5EAF"/>
    <w:rsid w:val="001315B2"/>
    <w:rsid w:val="00161460"/>
    <w:rsid w:val="00170561"/>
    <w:rsid w:val="00186AC9"/>
    <w:rsid w:val="00197DF1"/>
    <w:rsid w:val="001B3DD9"/>
    <w:rsid w:val="001B7E5D"/>
    <w:rsid w:val="001D3BAC"/>
    <w:rsid w:val="00216025"/>
    <w:rsid w:val="00245C4E"/>
    <w:rsid w:val="00256599"/>
    <w:rsid w:val="00273949"/>
    <w:rsid w:val="002A3FD9"/>
    <w:rsid w:val="002A4ED3"/>
    <w:rsid w:val="002C1321"/>
    <w:rsid w:val="002C5896"/>
    <w:rsid w:val="002D3BED"/>
    <w:rsid w:val="00307C2B"/>
    <w:rsid w:val="003615B8"/>
    <w:rsid w:val="00383247"/>
    <w:rsid w:val="003D6E2B"/>
    <w:rsid w:val="003E7597"/>
    <w:rsid w:val="004230A5"/>
    <w:rsid w:val="004301A2"/>
    <w:rsid w:val="0044020F"/>
    <w:rsid w:val="00450668"/>
    <w:rsid w:val="00463E1B"/>
    <w:rsid w:val="004705CC"/>
    <w:rsid w:val="00471C95"/>
    <w:rsid w:val="004813A2"/>
    <w:rsid w:val="004952FA"/>
    <w:rsid w:val="004A528D"/>
    <w:rsid w:val="004B6A22"/>
    <w:rsid w:val="004D2E9C"/>
    <w:rsid w:val="004D7F37"/>
    <w:rsid w:val="00512936"/>
    <w:rsid w:val="00522CE0"/>
    <w:rsid w:val="00565148"/>
    <w:rsid w:val="00566EE0"/>
    <w:rsid w:val="00570403"/>
    <w:rsid w:val="00593361"/>
    <w:rsid w:val="005A413B"/>
    <w:rsid w:val="005A5017"/>
    <w:rsid w:val="005A648C"/>
    <w:rsid w:val="005F1745"/>
    <w:rsid w:val="00641E4C"/>
    <w:rsid w:val="006A1802"/>
    <w:rsid w:val="006C74EA"/>
    <w:rsid w:val="00720D40"/>
    <w:rsid w:val="007318D4"/>
    <w:rsid w:val="0076265E"/>
    <w:rsid w:val="00765784"/>
    <w:rsid w:val="00770ABF"/>
    <w:rsid w:val="007A4390"/>
    <w:rsid w:val="007B0BE4"/>
    <w:rsid w:val="007E5CB7"/>
    <w:rsid w:val="00824CD9"/>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2350C"/>
    <w:rsid w:val="00A4011E"/>
    <w:rsid w:val="00A519B1"/>
    <w:rsid w:val="00A86015"/>
    <w:rsid w:val="00A9594E"/>
    <w:rsid w:val="00AE59C8"/>
    <w:rsid w:val="00B10098"/>
    <w:rsid w:val="00B5790D"/>
    <w:rsid w:val="00B945C5"/>
    <w:rsid w:val="00BA20EA"/>
    <w:rsid w:val="00BB5AFC"/>
    <w:rsid w:val="00BC0A56"/>
    <w:rsid w:val="00BF041C"/>
    <w:rsid w:val="00C05987"/>
    <w:rsid w:val="00C45366"/>
    <w:rsid w:val="00C57023"/>
    <w:rsid w:val="00C74052"/>
    <w:rsid w:val="00CB187A"/>
    <w:rsid w:val="00CC0EC7"/>
    <w:rsid w:val="00CD29A3"/>
    <w:rsid w:val="00D1088B"/>
    <w:rsid w:val="00D11F67"/>
    <w:rsid w:val="00D14DE6"/>
    <w:rsid w:val="00D156D2"/>
    <w:rsid w:val="00D53E29"/>
    <w:rsid w:val="00D86943"/>
    <w:rsid w:val="00DA47B9"/>
    <w:rsid w:val="00E058D3"/>
    <w:rsid w:val="00E76AD9"/>
    <w:rsid w:val="00E91E2F"/>
    <w:rsid w:val="00EA3546"/>
    <w:rsid w:val="00EB47AE"/>
    <w:rsid w:val="00EC0B3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51E4D03B-D3FC-4CAB-8AED-7A365A6B0B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Default">
    <w:name w:val="Default"/>
    <w:rsid w:val="003615B8"/>
    <w:pPr>
      <w:autoSpaceDE w:val="0"/>
      <w:autoSpaceDN w:val="0"/>
      <w:adjustRightInd w:val="0"/>
    </w:pPr>
    <w:rPr>
      <w:color w:val="000000"/>
      <w:sz w:val="24"/>
      <w:szCs w:val="24"/>
    </w:rPr>
  </w:style>
  <w:style w:type="character" w:styleId="Hyperlink">
    <w:name w:val="Hyperlink"/>
    <w:basedOn w:val="DefaultParagraphFont"/>
    <w:uiPriority w:val="99"/>
    <w:unhideWhenUsed/>
    <w:rsid w:val="00641E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34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1451</Words>
  <Characters>8271</Characters>
  <Application>Microsoft Office Word</Application>
  <DocSecurity>6</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 Abortion - South Carolina Legislature Online</dc:title>
  <dc:subject/>
  <dc:creator>%USERNAME%</dc:creator>
  <cp:keywords/>
  <dc:description/>
  <cp:lastModifiedBy>N Cumfer</cp:lastModifiedBy>
  <cp:revision>2</cp:revision>
  <dcterms:created xsi:type="dcterms:W3CDTF">2016-12-02T16:49:00Z</dcterms:created>
  <dcterms:modified xsi:type="dcterms:W3CDTF">2016-12-02T16:49:00Z</dcterms:modified>
</cp:coreProperties>
</file>