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AC2" w:rsidRDefault="00624AC2" w:rsidP="00624AC2">
      <w:pPr>
        <w:widowControl w:val="0"/>
        <w:jc w:val="center"/>
      </w:pPr>
      <w:bookmarkStart w:id="0" w:name="_GoBack"/>
      <w:bookmarkEnd w:id="0"/>
      <w:r w:rsidRPr="00624AC2">
        <w:rPr>
          <w:b/>
        </w:rPr>
        <w:t>South Carolina General Assembly</w:t>
      </w:r>
    </w:p>
    <w:p w:rsidR="00624AC2" w:rsidRDefault="00624AC2" w:rsidP="00624AC2">
      <w:pPr>
        <w:widowControl w:val="0"/>
        <w:jc w:val="center"/>
      </w:pPr>
      <w:r>
        <w:t>121st Session, 2015-2016</w:t>
      </w:r>
    </w:p>
    <w:p w:rsidR="00624AC2" w:rsidRDefault="00624AC2" w:rsidP="00624AC2">
      <w:pPr>
        <w:widowControl w:val="0"/>
        <w:jc w:val="left"/>
      </w:pPr>
    </w:p>
    <w:p w:rsidR="00624AC2" w:rsidRDefault="00624AC2" w:rsidP="00624AC2">
      <w:pPr>
        <w:widowControl w:val="0"/>
        <w:jc w:val="left"/>
        <w:rPr>
          <w:b/>
        </w:rPr>
      </w:pPr>
      <w:r w:rsidRPr="00624AC2">
        <w:rPr>
          <w:b/>
        </w:rPr>
        <w:t>H. 4303</w:t>
      </w:r>
    </w:p>
    <w:p w:rsidR="00624AC2" w:rsidRDefault="00624AC2" w:rsidP="00624AC2">
      <w:pPr>
        <w:widowControl w:val="0"/>
        <w:jc w:val="left"/>
        <w:rPr>
          <w:b/>
        </w:rPr>
      </w:pPr>
    </w:p>
    <w:p w:rsidR="00624AC2" w:rsidRDefault="00624AC2" w:rsidP="00624AC2">
      <w:pPr>
        <w:widowControl w:val="0"/>
        <w:jc w:val="left"/>
      </w:pPr>
      <w:r w:rsidRPr="00624AC2">
        <w:rPr>
          <w:b/>
        </w:rPr>
        <w:t>STATUS INFORMATION</w:t>
      </w:r>
    </w:p>
    <w:p w:rsidR="00624AC2" w:rsidRDefault="00624AC2" w:rsidP="00624AC2">
      <w:pPr>
        <w:widowControl w:val="0"/>
        <w:jc w:val="left"/>
      </w:pPr>
    </w:p>
    <w:p w:rsidR="00624AC2" w:rsidRDefault="00624AC2" w:rsidP="00624AC2">
      <w:pPr>
        <w:widowControl w:val="0"/>
        <w:jc w:val="left"/>
      </w:pPr>
      <w:r>
        <w:t>General Bill</w:t>
      </w:r>
    </w:p>
    <w:p w:rsidR="00624AC2" w:rsidRDefault="00624AC2" w:rsidP="00624AC2">
      <w:pPr>
        <w:widowControl w:val="0"/>
        <w:jc w:val="left"/>
      </w:pPr>
      <w:r>
        <w:t>Sponsors: Rep. Bowers</w:t>
      </w:r>
    </w:p>
    <w:p w:rsidR="00624AC2" w:rsidRDefault="00624AC2" w:rsidP="00624AC2">
      <w:pPr>
        <w:widowControl w:val="0"/>
        <w:jc w:val="left"/>
      </w:pPr>
      <w:r>
        <w:t>Document Path: l:\council\bills\dka\3036sa15.docx</w:t>
      </w:r>
    </w:p>
    <w:p w:rsidR="00624AC2" w:rsidRDefault="00624AC2" w:rsidP="00624AC2">
      <w:pPr>
        <w:widowControl w:val="0"/>
        <w:jc w:val="left"/>
      </w:pPr>
    </w:p>
    <w:p w:rsidR="00624AC2" w:rsidRDefault="00624AC2" w:rsidP="00624AC2">
      <w:pPr>
        <w:widowControl w:val="0"/>
        <w:jc w:val="left"/>
      </w:pPr>
      <w:r>
        <w:t>Introduced in the House on June 3, 2015</w:t>
      </w:r>
    </w:p>
    <w:p w:rsidR="00624AC2" w:rsidRDefault="00624AC2" w:rsidP="00624AC2">
      <w:pPr>
        <w:widowControl w:val="0"/>
        <w:jc w:val="left"/>
      </w:pPr>
      <w:r>
        <w:t xml:space="preserve">Currently residing in the House Committee on </w:t>
      </w:r>
      <w:r w:rsidRPr="00624AC2">
        <w:rPr>
          <w:b/>
        </w:rPr>
        <w:t>Ways and Means</w:t>
      </w:r>
    </w:p>
    <w:p w:rsidR="00624AC2" w:rsidRDefault="00624AC2" w:rsidP="00624AC2">
      <w:pPr>
        <w:widowControl w:val="0"/>
        <w:jc w:val="left"/>
      </w:pPr>
    </w:p>
    <w:p w:rsidR="00624AC2" w:rsidRDefault="00624AC2" w:rsidP="00624AC2">
      <w:pPr>
        <w:widowControl w:val="0"/>
        <w:jc w:val="left"/>
      </w:pPr>
      <w:r>
        <w:t xml:space="preserve">Summary: </w:t>
      </w:r>
      <w:r w:rsidR="00254F48">
        <w:t>Assessment ratio on residential property</w:t>
      </w:r>
    </w:p>
    <w:p w:rsidR="00624AC2" w:rsidRDefault="00624AC2" w:rsidP="00624AC2">
      <w:pPr>
        <w:widowControl w:val="0"/>
        <w:jc w:val="left"/>
      </w:pPr>
    </w:p>
    <w:p w:rsidR="00624AC2" w:rsidRDefault="00624AC2" w:rsidP="00624AC2">
      <w:pPr>
        <w:widowControl w:val="0"/>
        <w:jc w:val="left"/>
      </w:pPr>
    </w:p>
    <w:p w:rsidR="00624AC2" w:rsidRDefault="00624AC2" w:rsidP="00624AC2">
      <w:pPr>
        <w:widowControl w:val="0"/>
        <w:tabs>
          <w:tab w:val="center" w:pos="590"/>
          <w:tab w:val="center" w:pos="1440"/>
          <w:tab w:val="left" w:pos="1872"/>
          <w:tab w:val="left" w:pos="9187"/>
        </w:tabs>
        <w:jc w:val="left"/>
      </w:pPr>
      <w:r w:rsidRPr="00624AC2">
        <w:rPr>
          <w:b/>
        </w:rPr>
        <w:t>HISTORY OF LEGISLATIVE ACTIONS</w:t>
      </w:r>
    </w:p>
    <w:p w:rsidR="00624AC2" w:rsidRDefault="00624AC2" w:rsidP="00624AC2">
      <w:pPr>
        <w:widowControl w:val="0"/>
        <w:tabs>
          <w:tab w:val="center" w:pos="590"/>
          <w:tab w:val="center" w:pos="1440"/>
          <w:tab w:val="left" w:pos="1872"/>
          <w:tab w:val="left" w:pos="9187"/>
        </w:tabs>
        <w:jc w:val="left"/>
      </w:pPr>
    </w:p>
    <w:p w:rsidR="00624AC2" w:rsidRPr="00624AC2" w:rsidRDefault="00624AC2" w:rsidP="00624AC2">
      <w:pPr>
        <w:widowControl w:val="0"/>
        <w:tabs>
          <w:tab w:val="center" w:pos="590"/>
          <w:tab w:val="center" w:pos="1440"/>
          <w:tab w:val="left" w:pos="1872"/>
          <w:tab w:val="left" w:pos="9187"/>
        </w:tabs>
        <w:jc w:val="left"/>
      </w:pPr>
      <w:r w:rsidRPr="00624AC2">
        <w:rPr>
          <w:u w:val="single"/>
        </w:rPr>
        <w:tab/>
        <w:t>Date</w:t>
      </w:r>
      <w:r w:rsidRPr="00624AC2">
        <w:rPr>
          <w:u w:val="single"/>
        </w:rPr>
        <w:tab/>
        <w:t>Body</w:t>
      </w:r>
      <w:r w:rsidRPr="00624AC2">
        <w:rPr>
          <w:u w:val="single"/>
        </w:rPr>
        <w:tab/>
        <w:t>Action Description with journal page number</w:t>
      </w:r>
      <w:r w:rsidRPr="00624AC2">
        <w:rPr>
          <w:u w:val="single"/>
        </w:rPr>
        <w:tab/>
      </w:r>
    </w:p>
    <w:p w:rsidR="00B076C7" w:rsidRDefault="00B076C7" w:rsidP="00B076C7">
      <w:pPr>
        <w:widowControl w:val="0"/>
        <w:tabs>
          <w:tab w:val="right" w:pos="1008"/>
          <w:tab w:val="left" w:pos="1152"/>
          <w:tab w:val="left" w:pos="1872"/>
          <w:tab w:val="left" w:pos="9187"/>
        </w:tabs>
        <w:ind w:left="2088" w:hanging="2088"/>
        <w:jc w:val="left"/>
      </w:pPr>
      <w:r>
        <w:tab/>
        <w:t>6/3/2015</w:t>
      </w:r>
      <w:r>
        <w:tab/>
        <w:t>House</w:t>
      </w:r>
      <w:r>
        <w:tab/>
      </w:r>
      <w:r w:rsidRPr="00585E8A">
        <w:t>Introduced and read first time (</w:t>
      </w:r>
      <w:hyperlink r:id="rId7" w:history="1">
        <w:r w:rsidRPr="0040436C">
          <w:rPr>
            <w:rStyle w:val="Hyperlink"/>
          </w:rPr>
          <w:t>House Journal</w:t>
        </w:r>
        <w:r w:rsidRPr="0040436C">
          <w:rPr>
            <w:rStyle w:val="Hyperlink"/>
          </w:rPr>
          <w:noBreakHyphen/>
          <w:t>page 5</w:t>
        </w:r>
      </w:hyperlink>
      <w:r w:rsidRPr="00585E8A">
        <w:t>)</w:t>
      </w:r>
    </w:p>
    <w:p w:rsidR="00B076C7" w:rsidRDefault="00B076C7" w:rsidP="00B076C7">
      <w:pPr>
        <w:widowControl w:val="0"/>
        <w:tabs>
          <w:tab w:val="right" w:pos="1008"/>
          <w:tab w:val="left" w:pos="1152"/>
          <w:tab w:val="left" w:pos="1872"/>
          <w:tab w:val="left" w:pos="9187"/>
        </w:tabs>
        <w:ind w:left="2088" w:hanging="2088"/>
        <w:jc w:val="left"/>
      </w:pPr>
      <w:r>
        <w:tab/>
        <w:t>6/3/2015</w:t>
      </w:r>
      <w:r>
        <w:tab/>
        <w:t>House</w:t>
      </w:r>
      <w:r>
        <w:tab/>
      </w:r>
      <w:r w:rsidRPr="00585E8A">
        <w:t>Referred</w:t>
      </w:r>
      <w:r>
        <w:t xml:space="preserve"> to Committee on </w:t>
      </w:r>
      <w:r w:rsidRPr="00585E8A">
        <w:rPr>
          <w:b/>
        </w:rPr>
        <w:t>Ways and Means</w:t>
      </w:r>
      <w:r>
        <w:t xml:space="preserve"> </w:t>
      </w:r>
      <w:r w:rsidRPr="00585E8A">
        <w:t>(</w:t>
      </w:r>
      <w:hyperlink r:id="rId8" w:history="1">
        <w:r w:rsidRPr="0040436C">
          <w:rPr>
            <w:rStyle w:val="Hyperlink"/>
          </w:rPr>
          <w:t>House Journal</w:t>
        </w:r>
        <w:r w:rsidRPr="0040436C">
          <w:rPr>
            <w:rStyle w:val="Hyperlink"/>
          </w:rPr>
          <w:noBreakHyphen/>
          <w:t>page 5</w:t>
        </w:r>
      </w:hyperlink>
      <w:r w:rsidRPr="00585E8A">
        <w:t>)</w:t>
      </w:r>
    </w:p>
    <w:p w:rsidR="00B076C7" w:rsidRDefault="00B076C7" w:rsidP="00B076C7">
      <w:pPr>
        <w:widowControl w:val="0"/>
        <w:tabs>
          <w:tab w:val="right" w:pos="1008"/>
          <w:tab w:val="left" w:pos="1152"/>
          <w:tab w:val="left" w:pos="1872"/>
          <w:tab w:val="left" w:pos="9187"/>
        </w:tabs>
        <w:ind w:left="2088" w:hanging="2088"/>
        <w:jc w:val="left"/>
      </w:pPr>
    </w:p>
    <w:p w:rsidR="00624AC2" w:rsidRDefault="00624AC2" w:rsidP="00624AC2">
      <w:pPr>
        <w:widowControl w:val="0"/>
        <w:tabs>
          <w:tab w:val="right" w:pos="1008"/>
          <w:tab w:val="left" w:pos="1152"/>
          <w:tab w:val="left" w:pos="1872"/>
          <w:tab w:val="left" w:pos="9187"/>
        </w:tabs>
        <w:ind w:left="2088" w:hanging="2088"/>
        <w:jc w:val="left"/>
      </w:pPr>
      <w:r>
        <w:t xml:space="preserve">View the latest </w:t>
      </w:r>
      <w:hyperlink r:id="rId9" w:history="1">
        <w:r w:rsidRPr="00624AC2">
          <w:rPr>
            <w:rStyle w:val="Hyperlink"/>
          </w:rPr>
          <w:t>legislative information</w:t>
        </w:r>
      </w:hyperlink>
      <w:r>
        <w:t xml:space="preserve"> at the website</w:t>
      </w:r>
    </w:p>
    <w:p w:rsidR="00624AC2" w:rsidRDefault="00624AC2" w:rsidP="00624AC2">
      <w:pPr>
        <w:widowControl w:val="0"/>
        <w:tabs>
          <w:tab w:val="right" w:pos="1008"/>
          <w:tab w:val="left" w:pos="1152"/>
          <w:tab w:val="left" w:pos="1872"/>
          <w:tab w:val="left" w:pos="9187"/>
        </w:tabs>
        <w:ind w:left="2088" w:hanging="2088"/>
        <w:jc w:val="left"/>
      </w:pPr>
    </w:p>
    <w:p w:rsidR="00624AC2" w:rsidRPr="00624AC2" w:rsidRDefault="00624AC2" w:rsidP="00624AC2">
      <w:pPr>
        <w:widowControl w:val="0"/>
        <w:tabs>
          <w:tab w:val="right" w:pos="1008"/>
          <w:tab w:val="left" w:pos="1152"/>
          <w:tab w:val="left" w:pos="1872"/>
          <w:tab w:val="left" w:pos="9187"/>
        </w:tabs>
        <w:ind w:left="2088" w:hanging="2088"/>
        <w:jc w:val="left"/>
      </w:pPr>
    </w:p>
    <w:p w:rsidR="00624AC2" w:rsidRDefault="00624AC2" w:rsidP="00624AC2">
      <w:pPr>
        <w:widowControl w:val="0"/>
        <w:jc w:val="left"/>
      </w:pPr>
      <w:r w:rsidRPr="00624AC2">
        <w:rPr>
          <w:b/>
        </w:rPr>
        <w:t>VERSIONS OF THIS BILL</w:t>
      </w:r>
    </w:p>
    <w:p w:rsidR="00624AC2" w:rsidRDefault="00624AC2" w:rsidP="00624AC2">
      <w:pPr>
        <w:widowControl w:val="0"/>
        <w:jc w:val="left"/>
      </w:pPr>
    </w:p>
    <w:p w:rsidR="00624AC2" w:rsidRDefault="0040436C" w:rsidP="00624AC2">
      <w:pPr>
        <w:widowControl w:val="0"/>
        <w:jc w:val="left"/>
      </w:pPr>
      <w:hyperlink r:id="rId10" w:history="1">
        <w:r w:rsidR="00624AC2">
          <w:rPr>
            <w:rStyle w:val="Hyperlink"/>
          </w:rPr>
          <w:t>6/3/2015</w:t>
        </w:r>
      </w:hyperlink>
    </w:p>
    <w:p w:rsidR="00624AC2" w:rsidRDefault="00624AC2" w:rsidP="00624AC2"/>
    <w:p w:rsidR="00624AC2" w:rsidRDefault="00624AC2" w:rsidP="00624AC2">
      <w:pPr>
        <w:sectPr w:rsidR="00624AC2" w:rsidSect="00624AC2">
          <w:pgSz w:w="12240" w:h="15840" w:code="1"/>
          <w:pgMar w:top="1080" w:right="1440" w:bottom="1080" w:left="1440" w:header="720" w:footer="720" w:gutter="0"/>
          <w:cols w:space="720"/>
          <w:noEndnote/>
          <w:docGrid w:linePitch="360"/>
        </w:sectPr>
      </w:pPr>
    </w:p>
    <w:p w:rsidR="008A78FF" w:rsidRDefault="008A78F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D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69AC">
        <w:rPr>
          <w:color w:val="000000" w:themeColor="text1"/>
          <w:u w:color="000000" w:themeColor="text1"/>
        </w:rPr>
        <w:t>TO AMEND SECTION 12</w:t>
      </w:r>
      <w:r w:rsidR="008B37FE">
        <w:rPr>
          <w:color w:val="000000" w:themeColor="text1"/>
          <w:u w:color="000000" w:themeColor="text1"/>
        </w:rPr>
        <w:noBreakHyphen/>
      </w:r>
      <w:r w:rsidRPr="00C669AC">
        <w:rPr>
          <w:color w:val="000000" w:themeColor="text1"/>
          <w:u w:color="000000" w:themeColor="text1"/>
        </w:rPr>
        <w:t>43</w:t>
      </w:r>
      <w:r w:rsidR="008B37FE">
        <w:rPr>
          <w:color w:val="000000" w:themeColor="text1"/>
          <w:u w:color="000000" w:themeColor="text1"/>
        </w:rPr>
        <w:noBreakHyphen/>
      </w:r>
      <w:r w:rsidRPr="00C669AC">
        <w:rPr>
          <w:color w:val="000000" w:themeColor="text1"/>
          <w:u w:color="000000" w:themeColor="text1"/>
        </w:rPr>
        <w:t xml:space="preserve">220, AS AMENDED, CODE OF LAWS OF SOUTH CAROLINA, 1976, RELATING TO ASSESSMENT RATIOS ON RESIDENTIAL PROPERTY, SO AS TO ALLOW A TAXPAYER TO CLAIM THE FOUR PERCENT ASSESSMENT RATIO ON A RESIDENTIAL PROPERTY OTHER THAN THEIR LEGAL RESIDENCE IF THE ADDITIONAL RESIDENCE IS THE LEGAL RESIDENCE OF EITHER A PARENT OR CHILD OF THE TAXPAYER.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2DBC" w:rsidRDefault="008E2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DBC" w:rsidRDefault="008E2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E7" w:rsidRPr="00C669AC" w:rsidRDefault="008E2DBC"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228E7" w:rsidRPr="00C669AC">
        <w:rPr>
          <w:color w:val="000000" w:themeColor="text1"/>
          <w:u w:color="000000" w:themeColor="text1"/>
        </w:rPr>
        <w:t>Section 12</w:t>
      </w:r>
      <w:r w:rsidR="008B37FE">
        <w:rPr>
          <w:color w:val="000000" w:themeColor="text1"/>
          <w:u w:color="000000" w:themeColor="text1"/>
        </w:rPr>
        <w:noBreakHyphen/>
      </w:r>
      <w:r w:rsidR="00D228E7" w:rsidRPr="00C669AC">
        <w:rPr>
          <w:color w:val="000000" w:themeColor="text1"/>
          <w:u w:color="000000" w:themeColor="text1"/>
        </w:rPr>
        <w:t>43</w:t>
      </w:r>
      <w:r w:rsidR="008B37FE">
        <w:rPr>
          <w:color w:val="000000" w:themeColor="text1"/>
          <w:u w:color="000000" w:themeColor="text1"/>
        </w:rPr>
        <w:noBreakHyphen/>
      </w:r>
      <w:r w:rsidR="00D228E7" w:rsidRPr="00C669AC">
        <w:rPr>
          <w:color w:val="000000" w:themeColor="text1"/>
          <w:u w:color="000000" w:themeColor="text1"/>
        </w:rPr>
        <w:t>220(c) of the 1976 Code, as last amended by Act 259 of 2014, is further amended by adding</w:t>
      </w:r>
      <w:r w:rsidR="008B37FE">
        <w:rPr>
          <w:color w:val="000000" w:themeColor="text1"/>
          <w:u w:color="000000" w:themeColor="text1"/>
        </w:rPr>
        <w:t xml:space="preserve"> an appropriately numbered subitem to read</w:t>
      </w:r>
      <w:r w:rsidR="00D228E7" w:rsidRPr="00C669AC">
        <w:rPr>
          <w:color w:val="000000" w:themeColor="text1"/>
          <w:u w:color="000000" w:themeColor="text1"/>
        </w:rPr>
        <w:t xml:space="preserve">: </w:t>
      </w:r>
    </w:p>
    <w:p w:rsidR="00D228E7"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AC">
        <w:rPr>
          <w:color w:val="000000" w:themeColor="text1"/>
          <w:u w:color="000000" w:themeColor="text1"/>
        </w:rPr>
        <w:t>“(</w:t>
      </w:r>
      <w:r w:rsidR="00F57911">
        <w:rPr>
          <w:color w:val="000000" w:themeColor="text1"/>
          <w:u w:color="000000" w:themeColor="text1"/>
        </w:rPr>
        <w:t xml:space="preserve">  </w:t>
      </w:r>
      <w:r w:rsidRPr="00C669AC">
        <w:rPr>
          <w:color w:val="000000" w:themeColor="text1"/>
          <w:u w:color="000000" w:themeColor="text1"/>
        </w:rPr>
        <w:t>)(i)</w:t>
      </w:r>
      <w:r>
        <w:rPr>
          <w:color w:val="000000" w:themeColor="text1"/>
          <w:u w:color="000000" w:themeColor="text1"/>
        </w:rPr>
        <w:tab/>
      </w:r>
      <w:r w:rsidRPr="00C669AC">
        <w:rPr>
          <w:color w:val="000000" w:themeColor="text1"/>
          <w:u w:color="000000" w:themeColor="text1"/>
        </w:rPr>
        <w:t xml:space="preserve">Notwithstanding another provision of law, a taxpayer meeting all the other requirements of this subsection may claim the four percent assessment ratio on a residential property other than their legal residence if the additional residence is the legal residence of either a parent or child of the taxpayer. </w:t>
      </w:r>
      <w:r>
        <w:rPr>
          <w:color w:val="000000" w:themeColor="text1"/>
          <w:u w:color="000000" w:themeColor="text1"/>
        </w:rPr>
        <w:t xml:space="preserve"> </w:t>
      </w:r>
      <w:r w:rsidRPr="00C669AC">
        <w:rPr>
          <w:color w:val="000000" w:themeColor="text1"/>
          <w:u w:color="000000" w:themeColor="text1"/>
        </w:rPr>
        <w:t xml:space="preserve">This subitem does not apply if the parent or child pays rent. </w:t>
      </w: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69AC">
        <w:rPr>
          <w:color w:val="000000" w:themeColor="text1"/>
          <w:u w:color="000000" w:themeColor="text1"/>
        </w:rPr>
        <w:t>(ii)</w:t>
      </w:r>
      <w:r>
        <w:rPr>
          <w:color w:val="000000" w:themeColor="text1"/>
          <w:u w:color="000000" w:themeColor="text1"/>
        </w:rPr>
        <w:tab/>
      </w:r>
      <w:r w:rsidRPr="00C669AC">
        <w:rPr>
          <w:color w:val="000000" w:themeColor="text1"/>
          <w:u w:color="000000" w:themeColor="text1"/>
        </w:rPr>
        <w:t>This subitem does not apply unless the owner of the properties or the owner</w:t>
      </w:r>
      <w:r w:rsidR="008B37FE" w:rsidRPr="008B37FE">
        <w:rPr>
          <w:color w:val="000000" w:themeColor="text1"/>
          <w:u w:color="000000" w:themeColor="text1"/>
        </w:rPr>
        <w:t>’</w:t>
      </w:r>
      <w:r w:rsidRPr="00C669AC">
        <w:rPr>
          <w:color w:val="000000" w:themeColor="text1"/>
          <w:u w:color="000000" w:themeColor="text1"/>
        </w:rPr>
        <w:t xml:space="preserve">s agent applies for the four percent assessment ratio on all residences before the first penalty date for the payment of taxes for the tax year for which the owner first claims eligibility for this assessment ratio. The burden of proof for eligibility for the four percent assessment ratio on all residences is on the taxpayer. The taxpayer </w:t>
      </w:r>
      <w:r w:rsidR="008B37FE">
        <w:rPr>
          <w:color w:val="000000" w:themeColor="text1"/>
          <w:u w:color="000000" w:themeColor="text1"/>
        </w:rPr>
        <w:t>shall</w:t>
      </w:r>
      <w:r w:rsidRPr="00C669AC">
        <w:rPr>
          <w:color w:val="000000" w:themeColor="text1"/>
          <w:u w:color="000000" w:themeColor="text1"/>
        </w:rPr>
        <w:t xml:space="preserve"> provide </w:t>
      </w:r>
      <w:r w:rsidR="008B37FE">
        <w:rPr>
          <w:color w:val="000000" w:themeColor="text1"/>
          <w:u w:color="000000" w:themeColor="text1"/>
        </w:rPr>
        <w:t>the proof the assessor requires</w:t>
      </w:r>
      <w:r w:rsidRPr="00C669AC">
        <w:rPr>
          <w:color w:val="000000" w:themeColor="text1"/>
          <w:u w:color="000000" w:themeColor="text1"/>
        </w:rPr>
        <w:t xml:space="preserve"> including, but not limited to, a copy of the owner</w:t>
      </w:r>
      <w:r w:rsidR="008B37FE" w:rsidRPr="008B37FE">
        <w:rPr>
          <w:color w:val="000000" w:themeColor="text1"/>
          <w:u w:color="000000" w:themeColor="text1"/>
        </w:rPr>
        <w:t>’</w:t>
      </w:r>
      <w:r w:rsidRPr="00C669AC">
        <w:rPr>
          <w:color w:val="000000" w:themeColor="text1"/>
          <w:u w:color="000000" w:themeColor="text1"/>
        </w:rPr>
        <w:t xml:space="preserve">s most recently filed South Carolina individual income tax return, copies of South Carolina motor vehicle registrations for all motor vehicles </w:t>
      </w:r>
      <w:r w:rsidRPr="00C669AC">
        <w:rPr>
          <w:color w:val="000000" w:themeColor="text1"/>
          <w:u w:color="000000" w:themeColor="text1"/>
        </w:rPr>
        <w:lastRenderedPageBreak/>
        <w:t xml:space="preserve">registered in the name of the owner, and other proof required by the assessor necessary to determine eligibility for the assessment ratio allowed by this subitem. </w:t>
      </w: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69AC">
        <w:rPr>
          <w:color w:val="000000" w:themeColor="text1"/>
          <w:u w:color="000000" w:themeColor="text1"/>
        </w:rPr>
        <w:t>(iii)</w:t>
      </w:r>
      <w:r>
        <w:rPr>
          <w:color w:val="000000" w:themeColor="text1"/>
          <w:u w:color="000000" w:themeColor="text1"/>
        </w:rPr>
        <w:tab/>
      </w:r>
      <w:r w:rsidRPr="00C669AC">
        <w:rPr>
          <w:color w:val="000000" w:themeColor="text1"/>
          <w:u w:color="000000" w:themeColor="text1"/>
        </w:rPr>
        <w:t xml:space="preserve">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 </w:t>
      </w:r>
    </w:p>
    <w:p w:rsidR="00D228E7" w:rsidRPr="00C669A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DBC" w:rsidRDefault="00D228E7" w:rsidP="00D2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669AC">
        <w:rPr>
          <w:color w:val="000000" w:themeColor="text1"/>
          <w:u w:color="000000" w:themeColor="text1"/>
        </w:rPr>
        <w:t>2.</w:t>
      </w:r>
      <w:r>
        <w:rPr>
          <w:color w:val="000000" w:themeColor="text1"/>
          <w:u w:color="000000" w:themeColor="text1"/>
        </w:rPr>
        <w:tab/>
      </w:r>
      <w:r w:rsidRPr="00C669AC">
        <w:rPr>
          <w:color w:val="000000" w:themeColor="text1"/>
          <w:u w:color="000000" w:themeColor="text1"/>
        </w:rPr>
        <w:t>This act takes effect upon approval by the Governor and applies for property tax years beginning after 2014.</w:t>
      </w:r>
    </w:p>
    <w:p w:rsidR="0099468E" w:rsidRDefault="008B37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4AC2" w:rsidRDefault="00624AC2" w:rsidP="00624AC2">
      <w:pPr>
        <w:suppressAutoHyphens/>
      </w:pPr>
    </w:p>
    <w:sectPr w:rsidR="00624AC2" w:rsidSect="00624A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8E7" w:rsidRDefault="00D228E7" w:rsidP="009F0C77">
      <w:r>
        <w:separator/>
      </w:r>
    </w:p>
  </w:endnote>
  <w:endnote w:type="continuationSeparator" w:id="0">
    <w:p w:rsidR="00D228E7" w:rsidRDefault="00D228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0F67C0-8966-4356-AB12-F6439F089546}"/>
    <w:embedBold r:id="rId2" w:fontKey="{E88C2204-6563-43F3-9079-C8A31A5E10EB}"/>
  </w:font>
  <w:font w:name="Calibri">
    <w:panose1 w:val="020F0502020204030204"/>
    <w:charset w:val="00"/>
    <w:family w:val="swiss"/>
    <w:pitch w:val="variable"/>
    <w:sig w:usb0="E00002FF" w:usb1="4000ACFF" w:usb2="00000001" w:usb3="00000000" w:csb0="0000019F" w:csb1="00000000"/>
    <w:embedRegular r:id="rId3" w:fontKey="{BFF40ACB-B1B1-4D10-8DCB-893F19D5B535}"/>
  </w:font>
  <w:font w:name="Segoe UI">
    <w:panose1 w:val="020B0502040204020203"/>
    <w:charset w:val="00"/>
    <w:family w:val="swiss"/>
    <w:pitch w:val="variable"/>
    <w:sig w:usb0="E10022FF" w:usb1="C000E47F" w:usb2="00000029" w:usb3="00000000" w:csb0="000001DF" w:csb1="00000000"/>
    <w:embedRegular r:id="rId4" w:fontKey="{87283C27-BE9B-4CBF-BF10-758BAF9FB93A}"/>
  </w:font>
  <w:font w:name="Cambria">
    <w:panose1 w:val="02040503050406030204"/>
    <w:charset w:val="00"/>
    <w:family w:val="roman"/>
    <w:pitch w:val="variable"/>
    <w:sig w:usb0="E00002FF" w:usb1="400004FF" w:usb2="00000000" w:usb3="00000000" w:csb0="0000019F" w:csb1="00000000"/>
    <w:embedRegular r:id="rId5" w:fontKey="{D2495082-C092-4E5D-9E54-EF69314DEF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AC2" w:rsidRPr="008A78FF" w:rsidRDefault="00624AC2" w:rsidP="008A78FF">
    <w:pPr>
      <w:pStyle w:val="Footer"/>
      <w:tabs>
        <w:tab w:val="clear" w:pos="4680"/>
        <w:tab w:val="clear" w:pos="9360"/>
        <w:tab w:val="center" w:pos="2995"/>
      </w:tabs>
      <w:spacing w:before="120"/>
    </w:pPr>
    <w:r>
      <w:t>[4303]</w:t>
    </w:r>
    <w:r>
      <w:tab/>
    </w:r>
    <w:r>
      <w:fldChar w:fldCharType="begin"/>
    </w:r>
    <w:r>
      <w:instrText xml:space="preserve"> PAGE  \* MERGEFORMAT </w:instrText>
    </w:r>
    <w:r>
      <w:fldChar w:fldCharType="separate"/>
    </w:r>
    <w:r w:rsidR="004043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8E7" w:rsidRDefault="00D228E7" w:rsidP="009F0C77">
      <w:r>
        <w:separator/>
      </w:r>
    </w:p>
  </w:footnote>
  <w:footnote w:type="continuationSeparator" w:id="0">
    <w:p w:rsidR="00D228E7" w:rsidRDefault="00D228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6SA15"/>
    <w:docVar w:name="CoverBillType" w:val="b"/>
    <w:docVar w:name="docpath" w:val="L:\Council\bills\DKA\3036SA15.DOCX"/>
    <w:docVar w:name="dvBillNumber" w:val="4303"/>
    <w:docVar w:name="dvBillNumberPrefix" w:val="H. "/>
    <w:docVar w:name="dvOriginalBody" w:val="House"/>
    <w:docVar w:name="dvSteno" w:val="DKA"/>
    <w:docVar w:name="NameofBody" w:val="h"/>
    <w:docVar w:name="vgroup2" w:val="Council"/>
  </w:docVars>
  <w:rsids>
    <w:rsidRoot w:val="008E2DBC"/>
    <w:rsid w:val="000035D4"/>
    <w:rsid w:val="00011869"/>
    <w:rsid w:val="00015CD6"/>
    <w:rsid w:val="000E1785"/>
    <w:rsid w:val="000F40FA"/>
    <w:rsid w:val="0010776B"/>
    <w:rsid w:val="00133E66"/>
    <w:rsid w:val="001435A3"/>
    <w:rsid w:val="001D08F2"/>
    <w:rsid w:val="001D525B"/>
    <w:rsid w:val="001D7F4F"/>
    <w:rsid w:val="002321B6"/>
    <w:rsid w:val="00250967"/>
    <w:rsid w:val="002543C8"/>
    <w:rsid w:val="00254F48"/>
    <w:rsid w:val="00284AAE"/>
    <w:rsid w:val="002E5912"/>
    <w:rsid w:val="00301B21"/>
    <w:rsid w:val="00325348"/>
    <w:rsid w:val="0032732C"/>
    <w:rsid w:val="00336AD0"/>
    <w:rsid w:val="0037079A"/>
    <w:rsid w:val="003D01E8"/>
    <w:rsid w:val="003E5288"/>
    <w:rsid w:val="003F6D79"/>
    <w:rsid w:val="0040436C"/>
    <w:rsid w:val="0041760A"/>
    <w:rsid w:val="00417C01"/>
    <w:rsid w:val="004809EE"/>
    <w:rsid w:val="004E7D54"/>
    <w:rsid w:val="00521715"/>
    <w:rsid w:val="005273C6"/>
    <w:rsid w:val="00530A69"/>
    <w:rsid w:val="00545593"/>
    <w:rsid w:val="00577C6C"/>
    <w:rsid w:val="005C2FE2"/>
    <w:rsid w:val="005E2BC9"/>
    <w:rsid w:val="00605102"/>
    <w:rsid w:val="006215AA"/>
    <w:rsid w:val="00624AC2"/>
    <w:rsid w:val="006913C9"/>
    <w:rsid w:val="0069470D"/>
    <w:rsid w:val="00734F00"/>
    <w:rsid w:val="007A70AE"/>
    <w:rsid w:val="008362E8"/>
    <w:rsid w:val="008A1768"/>
    <w:rsid w:val="008A78FF"/>
    <w:rsid w:val="008B37FE"/>
    <w:rsid w:val="008E2DBC"/>
    <w:rsid w:val="008F0F33"/>
    <w:rsid w:val="008F4429"/>
    <w:rsid w:val="0094021A"/>
    <w:rsid w:val="009856E0"/>
    <w:rsid w:val="0099468E"/>
    <w:rsid w:val="009B44AF"/>
    <w:rsid w:val="009C6A0B"/>
    <w:rsid w:val="009F0C77"/>
    <w:rsid w:val="009F4DD1"/>
    <w:rsid w:val="00A41684"/>
    <w:rsid w:val="00A64E80"/>
    <w:rsid w:val="00A72BCD"/>
    <w:rsid w:val="00A741D9"/>
    <w:rsid w:val="00A833AB"/>
    <w:rsid w:val="00A9741D"/>
    <w:rsid w:val="00AD4B17"/>
    <w:rsid w:val="00B076C7"/>
    <w:rsid w:val="00B412D4"/>
    <w:rsid w:val="00BE3C22"/>
    <w:rsid w:val="00C0345E"/>
    <w:rsid w:val="00C3483A"/>
    <w:rsid w:val="00C74E9D"/>
    <w:rsid w:val="00C82FD3"/>
    <w:rsid w:val="00C92819"/>
    <w:rsid w:val="00CC6B7B"/>
    <w:rsid w:val="00CD2089"/>
    <w:rsid w:val="00D228E7"/>
    <w:rsid w:val="00D73A67"/>
    <w:rsid w:val="00D970A9"/>
    <w:rsid w:val="00DF3845"/>
    <w:rsid w:val="00E41911"/>
    <w:rsid w:val="00E92EEF"/>
    <w:rsid w:val="00F24442"/>
    <w:rsid w:val="00F50AE3"/>
    <w:rsid w:val="00F5791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4FCD6-9ABA-4A8C-B90D-BBB5A3404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7FE"/>
    <w:rPr>
      <w:rFonts w:ascii="Segoe UI" w:eastAsia="Times New Roman" w:hAnsi="Segoe UI" w:cs="Segoe UI"/>
      <w:sz w:val="18"/>
      <w:szCs w:val="18"/>
    </w:rPr>
  </w:style>
  <w:style w:type="character" w:styleId="Hyperlink">
    <w:name w:val="Hyperlink"/>
    <w:basedOn w:val="DefaultParagraphFont"/>
    <w:uiPriority w:val="99"/>
    <w:unhideWhenUsed/>
    <w:rsid w:val="00624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03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FB4DB-F15A-4E2E-AEBA-036790A23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477</Words>
  <Characters>2724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4303: Assessment ratio on residential property - South Carolina Legislature Online</dc:title>
  <dc:creator>sharonpair</dc:creator>
  <cp:lastModifiedBy>N Cumfer</cp:lastModifiedBy>
  <cp:revision>2</cp:revision>
  <cp:lastPrinted>2015-01-06T22:11:00Z</cp:lastPrinted>
  <dcterms:created xsi:type="dcterms:W3CDTF">2016-12-02T19:05:00Z</dcterms:created>
  <dcterms:modified xsi:type="dcterms:W3CDTF">2016-12-02T19:05:00Z</dcterms:modified>
</cp:coreProperties>
</file>