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A67" w:rsidRDefault="00A33A67" w:rsidP="00A33A67">
      <w:pPr>
        <w:widowControl w:val="0"/>
        <w:jc w:val="center"/>
      </w:pPr>
      <w:bookmarkStart w:id="0" w:name="_GoBack"/>
      <w:bookmarkEnd w:id="0"/>
      <w:r w:rsidRPr="00A33A67">
        <w:rPr>
          <w:b/>
        </w:rPr>
        <w:t>South Carolina General Assembly</w:t>
      </w:r>
    </w:p>
    <w:p w:rsidR="00A33A67" w:rsidRDefault="00A33A67" w:rsidP="00A33A67">
      <w:pPr>
        <w:widowControl w:val="0"/>
        <w:jc w:val="center"/>
      </w:pPr>
      <w:r>
        <w:t>121st Session, 2015-2016</w:t>
      </w:r>
    </w:p>
    <w:p w:rsidR="00A33A67" w:rsidRDefault="00A33A67" w:rsidP="00A33A67">
      <w:pPr>
        <w:widowControl w:val="0"/>
        <w:jc w:val="left"/>
      </w:pPr>
    </w:p>
    <w:p w:rsidR="00A33A67" w:rsidRDefault="00A33A67" w:rsidP="00A33A67">
      <w:pPr>
        <w:widowControl w:val="0"/>
        <w:jc w:val="left"/>
        <w:rPr>
          <w:b/>
        </w:rPr>
      </w:pPr>
      <w:r w:rsidRPr="00A33A67">
        <w:rPr>
          <w:b/>
        </w:rPr>
        <w:t>S.</w:t>
      </w:r>
      <w:r>
        <w:rPr>
          <w:b/>
        </w:rPr>
        <w:t xml:space="preserve"> </w:t>
      </w:r>
      <w:r w:rsidRPr="00A33A67">
        <w:rPr>
          <w:b/>
        </w:rPr>
        <w:t>529</w:t>
      </w:r>
    </w:p>
    <w:p w:rsidR="00A33A67" w:rsidRDefault="00A33A67" w:rsidP="00A33A67">
      <w:pPr>
        <w:widowControl w:val="0"/>
        <w:jc w:val="left"/>
        <w:rPr>
          <w:b/>
        </w:rPr>
      </w:pPr>
    </w:p>
    <w:p w:rsidR="00A33A67" w:rsidRDefault="00A33A67" w:rsidP="00A33A67">
      <w:pPr>
        <w:widowControl w:val="0"/>
        <w:jc w:val="left"/>
      </w:pPr>
      <w:r w:rsidRPr="00A33A67">
        <w:rPr>
          <w:b/>
        </w:rPr>
        <w:t>STATUS INFORMATION</w:t>
      </w:r>
    </w:p>
    <w:p w:rsidR="00A33A67" w:rsidRDefault="00A33A67" w:rsidP="00A33A67">
      <w:pPr>
        <w:widowControl w:val="0"/>
        <w:jc w:val="left"/>
      </w:pPr>
    </w:p>
    <w:p w:rsidR="00A33A67" w:rsidRDefault="00A33A67" w:rsidP="00A33A67">
      <w:pPr>
        <w:widowControl w:val="0"/>
        <w:jc w:val="left"/>
      </w:pPr>
      <w:r>
        <w:t>General Bill</w:t>
      </w:r>
    </w:p>
    <w:p w:rsidR="00A33A67" w:rsidRDefault="00A33A67" w:rsidP="00A33A67">
      <w:pPr>
        <w:widowControl w:val="0"/>
        <w:jc w:val="left"/>
      </w:pPr>
      <w:r>
        <w:t>Sponsors: Senators L. Martin, Alexander, Campbell, O'Dell, Reese, Peeler, Shealy, Gregory, Massey, Turner, Bennett, Cromer, Grooms, Bryant, Williams and S. Martin</w:t>
      </w:r>
    </w:p>
    <w:p w:rsidR="00A33A67" w:rsidRDefault="00A33A67" w:rsidP="00A33A67">
      <w:pPr>
        <w:widowControl w:val="0"/>
        <w:jc w:val="left"/>
      </w:pPr>
      <w:r>
        <w:t>Document Path: l:\council\bills\ggs\22734zw15.docx</w:t>
      </w:r>
    </w:p>
    <w:p w:rsidR="002239AF" w:rsidRDefault="002239AF" w:rsidP="00A33A67">
      <w:pPr>
        <w:widowControl w:val="0"/>
        <w:jc w:val="left"/>
      </w:pPr>
      <w:r>
        <w:t>Companion/Similar bill(s): 282</w:t>
      </w:r>
    </w:p>
    <w:p w:rsidR="00A33A67" w:rsidRDefault="00A33A67" w:rsidP="00A33A67">
      <w:pPr>
        <w:widowControl w:val="0"/>
        <w:jc w:val="left"/>
      </w:pPr>
    </w:p>
    <w:p w:rsidR="00A33A67" w:rsidRDefault="00A33A67" w:rsidP="00A33A67">
      <w:pPr>
        <w:widowControl w:val="0"/>
        <w:jc w:val="left"/>
      </w:pPr>
      <w:r>
        <w:t>Introduced in the Senate on March 10, 2015</w:t>
      </w:r>
    </w:p>
    <w:p w:rsidR="00A33A67" w:rsidRDefault="00A33A67" w:rsidP="00A33A67">
      <w:pPr>
        <w:widowControl w:val="0"/>
        <w:jc w:val="left"/>
      </w:pPr>
      <w:r>
        <w:t xml:space="preserve">Currently residing in the Senate Committee on </w:t>
      </w:r>
      <w:r w:rsidRPr="00A33A67">
        <w:rPr>
          <w:b/>
        </w:rPr>
        <w:t>Judiciary</w:t>
      </w:r>
    </w:p>
    <w:p w:rsidR="00A33A67" w:rsidRDefault="00A33A67" w:rsidP="00A33A67">
      <w:pPr>
        <w:widowControl w:val="0"/>
        <w:jc w:val="left"/>
      </w:pPr>
    </w:p>
    <w:p w:rsidR="00A33A67" w:rsidRDefault="00A33A67" w:rsidP="00A33A67">
      <w:pPr>
        <w:widowControl w:val="0"/>
        <w:jc w:val="left"/>
      </w:pPr>
      <w:r>
        <w:t xml:space="preserve">Summary: </w:t>
      </w:r>
      <w:r w:rsidR="00202831">
        <w:t>CDL Driver Employment Protection Act</w:t>
      </w:r>
    </w:p>
    <w:p w:rsidR="00A33A67" w:rsidRDefault="00A33A67" w:rsidP="00A33A67">
      <w:pPr>
        <w:widowControl w:val="0"/>
        <w:jc w:val="left"/>
      </w:pPr>
    </w:p>
    <w:p w:rsidR="00A33A67" w:rsidRDefault="00A33A67" w:rsidP="00A33A67">
      <w:pPr>
        <w:widowControl w:val="0"/>
        <w:jc w:val="left"/>
      </w:pPr>
    </w:p>
    <w:p w:rsidR="00A33A67" w:rsidRDefault="00A33A67" w:rsidP="00A33A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A67">
        <w:rPr>
          <w:b/>
        </w:rPr>
        <w:t>HISTORY OF LEGISLATIVE ACTIONS</w:t>
      </w:r>
    </w:p>
    <w:p w:rsidR="00A33A67" w:rsidRDefault="00A33A67" w:rsidP="00A33A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3A67" w:rsidRPr="00A33A67" w:rsidRDefault="00A33A67" w:rsidP="00A33A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A67">
        <w:rPr>
          <w:u w:val="single"/>
        </w:rPr>
        <w:tab/>
        <w:t>Date</w:t>
      </w:r>
      <w:r w:rsidRPr="00A33A67">
        <w:rPr>
          <w:u w:val="single"/>
        </w:rPr>
        <w:tab/>
        <w:t>Body</w:t>
      </w:r>
      <w:r w:rsidRPr="00A33A67">
        <w:rPr>
          <w:u w:val="single"/>
        </w:rPr>
        <w:tab/>
        <w:t>Action Description with journal page number</w:t>
      </w:r>
      <w:r w:rsidRPr="00A33A67">
        <w:rPr>
          <w:u w:val="single"/>
        </w:rPr>
        <w:tab/>
      </w:r>
    </w:p>
    <w:p w:rsidR="00FC7BB5" w:rsidRDefault="00FC7BB5" w:rsidP="00FC7B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3/10/2015</w:t>
      </w:r>
      <w:r>
        <w:tab/>
        <w:t>Senate</w:t>
      </w:r>
      <w:r>
        <w:tab/>
      </w:r>
      <w:r w:rsidRPr="00D845EF">
        <w:t>Introduced and read first time (</w:t>
      </w:r>
      <w:hyperlink r:id="rId7" w:history="1">
        <w:r w:rsidRPr="00A26D2C">
          <w:rPr>
            <w:rStyle w:val="Hyperlink"/>
          </w:rPr>
          <w:t>Senate Journal</w:t>
        </w:r>
        <w:r w:rsidRPr="00A26D2C">
          <w:rPr>
            <w:rStyle w:val="Hyperlink"/>
          </w:rPr>
          <w:noBreakHyphen/>
          <w:t>page 7</w:t>
        </w:r>
      </w:hyperlink>
      <w:r w:rsidRPr="00D845EF">
        <w:t>)</w:t>
      </w:r>
    </w:p>
    <w:p w:rsidR="00FC7BB5" w:rsidRDefault="00FC7BB5" w:rsidP="00FC7B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3/10/2015</w:t>
      </w:r>
      <w:r>
        <w:tab/>
        <w:t>Senate</w:t>
      </w:r>
      <w:r>
        <w:tab/>
      </w:r>
      <w:r w:rsidRPr="00D845EF">
        <w:t>Ref</w:t>
      </w:r>
      <w:r>
        <w:t xml:space="preserve">erred to Committee on </w:t>
      </w:r>
      <w:r w:rsidRPr="00D845EF">
        <w:rPr>
          <w:b/>
        </w:rPr>
        <w:t>Judiciary</w:t>
      </w:r>
      <w:r>
        <w:t xml:space="preserve"> </w:t>
      </w:r>
      <w:r w:rsidRPr="00D845EF">
        <w:t>(</w:t>
      </w:r>
      <w:hyperlink r:id="rId8" w:history="1">
        <w:r w:rsidRPr="00A26D2C">
          <w:rPr>
            <w:rStyle w:val="Hyperlink"/>
          </w:rPr>
          <w:t>Senate Journal</w:t>
        </w:r>
        <w:r w:rsidRPr="00A26D2C">
          <w:rPr>
            <w:rStyle w:val="Hyperlink"/>
          </w:rPr>
          <w:noBreakHyphen/>
          <w:t>page 7</w:t>
        </w:r>
      </w:hyperlink>
      <w:r w:rsidRPr="00D845EF">
        <w:t>)</w:t>
      </w:r>
    </w:p>
    <w:p w:rsidR="00FC7BB5" w:rsidRDefault="00FC7BB5" w:rsidP="00FC7B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3/12/2015</w:t>
      </w:r>
      <w:r>
        <w:tab/>
        <w:t>Senate</w:t>
      </w:r>
      <w:r>
        <w:tab/>
      </w:r>
      <w:r w:rsidRPr="00D845EF">
        <w:t>Referred to Subcommittee: Massey (ch), Coleman, Gregory</w:t>
      </w:r>
    </w:p>
    <w:p w:rsidR="00FC7BB5" w:rsidRDefault="00FC7BB5" w:rsidP="00FC7B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A67" w:rsidRDefault="00A33A67" w:rsidP="00A33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33A67">
          <w:rPr>
            <w:rStyle w:val="Hyperlink"/>
          </w:rPr>
          <w:t>legislative information</w:t>
        </w:r>
      </w:hyperlink>
      <w:r>
        <w:t xml:space="preserve"> at the website</w:t>
      </w:r>
    </w:p>
    <w:p w:rsidR="00A33A67" w:rsidRDefault="00A33A67" w:rsidP="00A33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A67" w:rsidRPr="00A33A67" w:rsidRDefault="00A33A67" w:rsidP="00A33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A67" w:rsidRDefault="00A33A67" w:rsidP="00A33A67">
      <w:pPr>
        <w:widowControl w:val="0"/>
        <w:jc w:val="left"/>
      </w:pPr>
      <w:r w:rsidRPr="00A33A67">
        <w:rPr>
          <w:b/>
        </w:rPr>
        <w:t>VERSIONS OF THIS BILL</w:t>
      </w:r>
    </w:p>
    <w:p w:rsidR="00A33A67" w:rsidRDefault="00A33A67" w:rsidP="00A33A67">
      <w:pPr>
        <w:widowControl w:val="0"/>
        <w:jc w:val="left"/>
      </w:pPr>
    </w:p>
    <w:p w:rsidR="00A33A67" w:rsidRDefault="00A26D2C" w:rsidP="00A33A67">
      <w:pPr>
        <w:widowControl w:val="0"/>
        <w:jc w:val="left"/>
      </w:pPr>
      <w:hyperlink r:id="rId10" w:history="1">
        <w:r w:rsidR="00A33A67">
          <w:rPr>
            <w:rStyle w:val="Hyperlink"/>
          </w:rPr>
          <w:t>3/10/2015</w:t>
        </w:r>
      </w:hyperlink>
    </w:p>
    <w:p w:rsidR="00A33A67" w:rsidRDefault="00A33A67" w:rsidP="00A33A67"/>
    <w:p w:rsidR="00A33A67" w:rsidRDefault="00A33A67" w:rsidP="00A33A67">
      <w:pPr>
        <w:sectPr w:rsidR="00A33A67" w:rsidSect="00A33A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4020" w:rsidRDefault="003740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4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409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CFB" w:rsidRPr="00C776D4" w:rsidRDefault="003F1CFB" w:rsidP="003F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776D4">
        <w:rPr>
          <w:color w:val="000000" w:themeColor="text1"/>
          <w:u w:color="000000" w:themeColor="text1"/>
        </w:rPr>
        <w:t xml:space="preserve">TO AMEND THE CODE OF LAWS OF SOUTH CAROLINA, 1976, BY ADDING ARTICLE 8 TO CHAPTER 23, TITLE 58 SO AS TO ESTABLISH THE </w:t>
      </w:r>
      <w:r>
        <w:rPr>
          <w:color w:val="000000" w:themeColor="text1"/>
          <w:u w:color="000000" w:themeColor="text1"/>
        </w:rPr>
        <w:t>“</w:t>
      </w:r>
      <w:r w:rsidRPr="00C776D4">
        <w:rPr>
          <w:color w:val="000000" w:themeColor="text1"/>
          <w:u w:color="000000" w:themeColor="text1"/>
        </w:rPr>
        <w:t>CDL DRIVER EMPLOYMENT PROTECTION ACT</w:t>
      </w:r>
      <w:r>
        <w:rPr>
          <w:color w:val="000000" w:themeColor="text1"/>
          <w:u w:color="000000" w:themeColor="text1"/>
        </w:rPr>
        <w:t>”</w:t>
      </w:r>
      <w:r w:rsidR="00171693">
        <w:rPr>
          <w:color w:val="000000" w:themeColor="text1"/>
          <w:u w:color="000000" w:themeColor="text1"/>
        </w:rPr>
        <w:t>,</w:t>
      </w:r>
      <w:r w:rsidRPr="00C776D4">
        <w:rPr>
          <w:color w:val="000000" w:themeColor="text1"/>
          <w:u w:color="000000" w:themeColor="text1"/>
        </w:rPr>
        <w:t xml:space="preserve"> </w:t>
      </w:r>
      <w:r w:rsidR="00171693">
        <w:rPr>
          <w:color w:val="000000" w:themeColor="text1"/>
          <w:u w:color="000000" w:themeColor="text1"/>
        </w:rPr>
        <w:t>TO PROVIDE</w:t>
      </w:r>
      <w:r w:rsidRPr="00C776D4">
        <w:rPr>
          <w:color w:val="000000" w:themeColor="text1"/>
          <w:u w:color="000000" w:themeColor="text1"/>
        </w:rPr>
        <w:t xml:space="preserve"> THAT CIVIL LIABILITY CLAIMS MADE AGAINST AN EMPLOYER OF A PERSON WHO HOLDS A VALID COMMERCIAL DRIVER LICENSE BASED ON A THEORY OF NEGLIGENT HIRING, TRAINING, RETENTION, OR ENTRUSTMENT MUST BE CONSIDERED IN THE SECOND PHASE OF A BIFURCATED TRIAL PURSUANT TO SECTION 15</w:t>
      </w:r>
      <w:r w:rsidR="00713CE8">
        <w:rPr>
          <w:color w:val="000000" w:themeColor="text1"/>
          <w:u w:color="000000" w:themeColor="text1"/>
        </w:rPr>
        <w:noBreakHyphen/>
      </w:r>
      <w:r w:rsidRPr="00C776D4">
        <w:rPr>
          <w:color w:val="000000" w:themeColor="text1"/>
          <w:u w:color="000000" w:themeColor="text1"/>
        </w:rPr>
        <w:t>32</w:t>
      </w:r>
      <w:r w:rsidR="00713CE8">
        <w:rPr>
          <w:color w:val="000000" w:themeColor="text1"/>
          <w:u w:color="000000" w:themeColor="text1"/>
        </w:rPr>
        <w:noBreakHyphen/>
      </w:r>
      <w:r w:rsidRPr="00C776D4">
        <w:rPr>
          <w:color w:val="000000" w:themeColor="text1"/>
          <w:u w:color="000000" w:themeColor="text1"/>
        </w:rPr>
        <w:t>520(E)</w:t>
      </w:r>
      <w:r>
        <w:rPr>
          <w:color w:val="000000" w:themeColor="text1"/>
          <w:u w:color="000000" w:themeColor="text1"/>
        </w:rPr>
        <w:t>,</w:t>
      </w:r>
      <w:r w:rsidRPr="00C776D4">
        <w:rPr>
          <w:color w:val="000000" w:themeColor="text1"/>
          <w:u w:color="000000" w:themeColor="text1"/>
        </w:rPr>
        <w:t xml:space="preserve"> IF THERE IS EVIDENCE TO SUPPORT AN AWARD OF</w:t>
      </w:r>
      <w:r>
        <w:rPr>
          <w:color w:val="000000" w:themeColor="text1"/>
          <w:u w:color="000000" w:themeColor="text1"/>
        </w:rPr>
        <w:t xml:space="preserve"> PUNITIVE DAMAGES, BUT</w:t>
      </w:r>
      <w:r w:rsidRPr="00C776D4">
        <w:rPr>
          <w:color w:val="000000" w:themeColor="text1"/>
          <w:u w:color="000000" w:themeColor="text1"/>
        </w:rPr>
        <w:t xml:space="preserve"> PUNITIVE DAMAGES MAY NOT BE AWARDED AGAINST AN EMPLOYER SOLELY ON THE BASIS OF VICARIOUS LIABILITY.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1CFB" w:rsidRPr="007468C8" w:rsidRDefault="003F1CFB" w:rsidP="003F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68C8">
        <w:rPr>
          <w:color w:val="000000" w:themeColor="text1"/>
          <w:u w:color="000000" w:themeColor="text1"/>
        </w:rPr>
        <w:t xml:space="preserve">Whereas, it </w:t>
      </w:r>
      <w:r>
        <w:rPr>
          <w:color w:val="000000" w:themeColor="text1"/>
          <w:u w:color="000000" w:themeColor="text1"/>
        </w:rPr>
        <w:t>is</w:t>
      </w:r>
      <w:r w:rsidRPr="007468C8">
        <w:rPr>
          <w:color w:val="000000" w:themeColor="text1"/>
          <w:u w:color="000000" w:themeColor="text1"/>
        </w:rPr>
        <w:t xml:space="preserve"> the public policy of this State to recognize that: a viable truck transportation industry with an adequate supply of professionally licensed drivers is criti</w:t>
      </w:r>
      <w:r>
        <w:rPr>
          <w:color w:val="000000" w:themeColor="text1"/>
          <w:u w:color="000000" w:themeColor="text1"/>
        </w:rPr>
        <w:t>cal to the state</w:t>
      </w:r>
      <w:r w:rsidR="00713CE8" w:rsidRPr="00713C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economy; </w:t>
      </w:r>
      <w:r w:rsidRPr="007468C8">
        <w:rPr>
          <w:color w:val="000000" w:themeColor="text1"/>
          <w:u w:color="000000" w:themeColor="text1"/>
        </w:rPr>
        <w:t>commercial motor vehicle owners must meet strict federal and state requirements to maintain fleet ope</w:t>
      </w:r>
      <w:r>
        <w:rPr>
          <w:color w:val="000000" w:themeColor="text1"/>
          <w:u w:color="000000" w:themeColor="text1"/>
        </w:rPr>
        <w:t xml:space="preserve">rations on public highways; </w:t>
      </w:r>
      <w:r w:rsidRPr="007468C8">
        <w:rPr>
          <w:color w:val="000000" w:themeColor="text1"/>
          <w:u w:color="000000" w:themeColor="text1"/>
        </w:rPr>
        <w:t>professional drivers must meet strict federal and state requirements in order to obtain and keep a comme</w:t>
      </w:r>
      <w:r>
        <w:rPr>
          <w:color w:val="000000" w:themeColor="text1"/>
          <w:u w:color="000000" w:themeColor="text1"/>
        </w:rPr>
        <w:t>rcial driver</w:t>
      </w:r>
      <w:r w:rsidR="00713CE8" w:rsidRPr="00713C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license; and</w:t>
      </w:r>
      <w:r w:rsidRPr="007468C8">
        <w:rPr>
          <w:color w:val="000000" w:themeColor="text1"/>
          <w:u w:color="000000" w:themeColor="text1"/>
        </w:rPr>
        <w:t xml:space="preserve"> they are subject to law enforcement oversight while in the conduct of their ordinary business operations in multi</w:t>
      </w:r>
      <w:r w:rsidR="005316B3">
        <w:rPr>
          <w:color w:val="000000" w:themeColor="text1"/>
          <w:u w:color="000000" w:themeColor="text1"/>
        </w:rPr>
        <w:t>ple jurisdictions with exposure</w:t>
      </w:r>
      <w:r w:rsidRPr="007468C8">
        <w:rPr>
          <w:color w:val="000000" w:themeColor="text1"/>
          <w:u w:color="000000" w:themeColor="text1"/>
        </w:rPr>
        <w:t xml:space="preserve"> to inconsistent enforcement and inspection practices, all of which result in records </w:t>
      </w:r>
      <w:r w:rsidR="005E2921">
        <w:rPr>
          <w:color w:val="000000" w:themeColor="text1"/>
          <w:u w:color="000000" w:themeColor="text1"/>
        </w:rPr>
        <w:t>that</w:t>
      </w:r>
      <w:r w:rsidRPr="007468C8">
        <w:rPr>
          <w:color w:val="000000" w:themeColor="text1"/>
          <w:u w:color="000000" w:themeColor="text1"/>
        </w:rPr>
        <w:t xml:space="preserve"> may be misconstrued by regulators, plaintiffs</w:t>
      </w:r>
      <w:r>
        <w:rPr>
          <w:color w:val="000000" w:themeColor="text1"/>
          <w:u w:color="000000" w:themeColor="text1"/>
        </w:rPr>
        <w:t>,</w:t>
      </w:r>
      <w:r w:rsidR="00607125">
        <w:rPr>
          <w:color w:val="000000" w:themeColor="text1"/>
          <w:u w:color="000000" w:themeColor="text1"/>
        </w:rPr>
        <w:t xml:space="preserve"> and jurors; and</w:t>
      </w:r>
    </w:p>
    <w:p w:rsidR="005E2921" w:rsidRDefault="005E2921" w:rsidP="003F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CFB" w:rsidRPr="007468C8" w:rsidRDefault="00607125" w:rsidP="003F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3F1CFB" w:rsidRPr="007468C8">
        <w:rPr>
          <w:color w:val="000000" w:themeColor="text1"/>
          <w:u w:color="000000" w:themeColor="text1"/>
        </w:rPr>
        <w:t xml:space="preserve">ommercial motor vehicle operators and their professional drivers should not be held to a higher standard of conduct than members of other professions and industries in the State </w:t>
      </w:r>
      <w:r w:rsidR="003F1CFB">
        <w:rPr>
          <w:color w:val="000000" w:themeColor="text1"/>
          <w:u w:color="000000" w:themeColor="text1"/>
        </w:rPr>
        <w:t>when facing civil actions in the state</w:t>
      </w:r>
      <w:r w:rsidR="00713CE8" w:rsidRPr="00713CE8">
        <w:rPr>
          <w:color w:val="000000" w:themeColor="text1"/>
          <w:u w:color="000000" w:themeColor="text1"/>
        </w:rPr>
        <w:t>’</w:t>
      </w:r>
      <w:r w:rsidR="003F1CF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courts.</w:t>
      </w:r>
      <w:r w:rsidRPr="007468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7468C8">
        <w:rPr>
          <w:color w:val="000000" w:themeColor="text1"/>
          <w:u w:color="000000" w:themeColor="text1"/>
        </w:rPr>
        <w:t>Now, therefore,</w:t>
      </w:r>
    </w:p>
    <w:p w:rsidR="003F1CFB" w:rsidRDefault="003F1C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09B" w:rsidRDefault="004E4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E409B" w:rsidRDefault="004E4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1AC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>Chapter 23, Title 58 of the 1976 Code is amended by adding:</w:t>
      </w:r>
    </w:p>
    <w:p w:rsidR="005E2921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F11AC2">
        <w:rPr>
          <w:color w:val="000000" w:themeColor="text1"/>
          <w:u w:color="000000" w:themeColor="text1"/>
        </w:rPr>
        <w:t>Article 8</w:t>
      </w: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F11AC2">
        <w:rPr>
          <w:color w:val="000000" w:themeColor="text1"/>
          <w:u w:color="000000" w:themeColor="text1"/>
        </w:rPr>
        <w:t>CDL Driver Employment Protection Act</w:t>
      </w: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>Section 58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23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810.</w:t>
      </w: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 xml:space="preserve">In trials of civil actions where vicarious liability of an employer or principal has been admitted, civil liability claims made against </w:t>
      </w:r>
      <w:r>
        <w:rPr>
          <w:color w:val="000000" w:themeColor="text1"/>
          <w:u w:color="000000" w:themeColor="text1"/>
        </w:rPr>
        <w:t>the</w:t>
      </w:r>
      <w:r w:rsidRPr="00F11AC2">
        <w:rPr>
          <w:color w:val="000000" w:themeColor="text1"/>
          <w:u w:color="000000" w:themeColor="text1"/>
        </w:rPr>
        <w:t xml:space="preserve"> employer of a person who holds a valid commercial driver license issued by this </w:t>
      </w:r>
      <w:r>
        <w:rPr>
          <w:color w:val="000000" w:themeColor="text1"/>
          <w:u w:color="000000" w:themeColor="text1"/>
        </w:rPr>
        <w:t>S</w:t>
      </w:r>
      <w:r w:rsidRPr="00F11AC2">
        <w:rPr>
          <w:color w:val="000000" w:themeColor="text1"/>
          <w:u w:color="000000" w:themeColor="text1"/>
        </w:rPr>
        <w:t xml:space="preserve">tate or another </w:t>
      </w:r>
      <w:r>
        <w:rPr>
          <w:color w:val="000000" w:themeColor="text1"/>
          <w:u w:color="000000" w:themeColor="text1"/>
        </w:rPr>
        <w:t>s</w:t>
      </w:r>
      <w:r w:rsidRPr="00F11AC2">
        <w:rPr>
          <w:color w:val="000000" w:themeColor="text1"/>
          <w:u w:color="000000" w:themeColor="text1"/>
        </w:rPr>
        <w:t>tate based on a theory of negligent hiring, negligent training, negligent supervision, negligent reten</w:t>
      </w:r>
      <w:r>
        <w:rPr>
          <w:color w:val="000000" w:themeColor="text1"/>
          <w:u w:color="000000" w:themeColor="text1"/>
        </w:rPr>
        <w:t xml:space="preserve">tion, or negligent entrustment </w:t>
      </w:r>
      <w:r w:rsidRPr="00F11AC2">
        <w:rPr>
          <w:color w:val="000000" w:themeColor="text1"/>
          <w:u w:color="000000" w:themeColor="text1"/>
        </w:rPr>
        <w:t xml:space="preserve">must not be considered in the first phase of a bifurcated trial </w:t>
      </w:r>
      <w:r>
        <w:rPr>
          <w:color w:val="000000" w:themeColor="text1"/>
          <w:u w:color="000000" w:themeColor="text1"/>
        </w:rPr>
        <w:t xml:space="preserve">pursuant to </w:t>
      </w:r>
      <w:r w:rsidRPr="00F11AC2">
        <w:rPr>
          <w:color w:val="000000" w:themeColor="text1"/>
          <w:u w:color="000000" w:themeColor="text1"/>
        </w:rPr>
        <w:t>Section 15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32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520(E) and only</w:t>
      </w:r>
      <w:r>
        <w:rPr>
          <w:color w:val="000000" w:themeColor="text1"/>
          <w:u w:color="000000" w:themeColor="text1"/>
        </w:rPr>
        <w:t xml:space="preserve"> </w:t>
      </w:r>
      <w:r w:rsidRPr="00F11AC2">
        <w:rPr>
          <w:color w:val="000000" w:themeColor="text1"/>
          <w:u w:color="000000" w:themeColor="text1"/>
        </w:rPr>
        <w:t xml:space="preserve">can be considered in the second phase of a bifurcated trial </w:t>
      </w:r>
      <w:r>
        <w:rPr>
          <w:color w:val="000000" w:themeColor="text1"/>
          <w:u w:color="000000" w:themeColor="text1"/>
        </w:rPr>
        <w:t>pursuant to</w:t>
      </w:r>
      <w:r w:rsidRPr="00F11AC2">
        <w:rPr>
          <w:color w:val="000000" w:themeColor="text1"/>
          <w:u w:color="000000" w:themeColor="text1"/>
        </w:rPr>
        <w:t xml:space="preserve"> Section 15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32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 xml:space="preserve">520(E) if there is evidence against the employer </w:t>
      </w:r>
      <w:r>
        <w:rPr>
          <w:color w:val="000000" w:themeColor="text1"/>
          <w:u w:color="000000" w:themeColor="text1"/>
        </w:rPr>
        <w:t>which</w:t>
      </w:r>
      <w:r w:rsidRPr="00F11AC2">
        <w:rPr>
          <w:color w:val="000000" w:themeColor="text1"/>
          <w:u w:color="000000" w:themeColor="text1"/>
        </w:rPr>
        <w:t xml:space="preserve"> would support an award of punitive damages. </w:t>
      </w: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 xml:space="preserve">A violation of a regulation enacted under the motor vehicle traffic and safety statutes and regulations of this State or of another state, or the Federal Motor Carrier Safety Regulations, or a conviction of a moving violation, </w:t>
      </w:r>
      <w:r w:rsidR="00713CE8">
        <w:rPr>
          <w:color w:val="000000" w:themeColor="text1"/>
          <w:u w:color="000000" w:themeColor="text1"/>
        </w:rPr>
        <w:t>shall not constitute per se wil</w:t>
      </w:r>
      <w:r w:rsidRPr="00F11AC2">
        <w:rPr>
          <w:color w:val="000000" w:themeColor="text1"/>
          <w:u w:color="000000" w:themeColor="text1"/>
        </w:rPr>
        <w:t xml:space="preserve">ful, wanton, or reckless conduct, or gross negligence and </w:t>
      </w:r>
      <w:r w:rsidR="00713CE8">
        <w:rPr>
          <w:color w:val="000000" w:themeColor="text1"/>
          <w:u w:color="000000" w:themeColor="text1"/>
        </w:rPr>
        <w:t>must</w:t>
      </w:r>
      <w:r w:rsidRPr="00F11AC2">
        <w:rPr>
          <w:color w:val="000000" w:themeColor="text1"/>
          <w:u w:color="000000" w:themeColor="text1"/>
        </w:rPr>
        <w:t xml:space="preserve"> not be admissible in the first phase of a bifurcated trial </w:t>
      </w:r>
      <w:r w:rsidR="00713CE8">
        <w:rPr>
          <w:color w:val="000000" w:themeColor="text1"/>
          <w:u w:color="000000" w:themeColor="text1"/>
        </w:rPr>
        <w:t>pursuant to</w:t>
      </w:r>
      <w:r w:rsidRPr="00F11AC2">
        <w:rPr>
          <w:color w:val="000000" w:themeColor="text1"/>
          <w:u w:color="000000" w:themeColor="text1"/>
        </w:rPr>
        <w:t xml:space="preserve"> Section 15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32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520(E).</w:t>
      </w:r>
      <w:r w:rsidR="00713CE8">
        <w:rPr>
          <w:color w:val="000000" w:themeColor="text1"/>
          <w:u w:color="000000" w:themeColor="text1"/>
        </w:rPr>
        <w:t xml:space="preserve"> </w:t>
      </w:r>
      <w:r w:rsidRPr="00F11AC2">
        <w:rPr>
          <w:color w:val="000000" w:themeColor="text1"/>
          <w:u w:color="000000" w:themeColor="text1"/>
        </w:rPr>
        <w:t xml:space="preserve"> Evidence of such a violation or conviction</w:t>
      </w:r>
      <w:r w:rsidR="00713CE8">
        <w:rPr>
          <w:color w:val="000000" w:themeColor="text1"/>
          <w:u w:color="000000" w:themeColor="text1"/>
        </w:rPr>
        <w:t xml:space="preserve"> that is otherwise admissible</w:t>
      </w:r>
      <w:r w:rsidRPr="00F11AC2">
        <w:rPr>
          <w:color w:val="000000" w:themeColor="text1"/>
          <w:u w:color="000000" w:themeColor="text1"/>
        </w:rPr>
        <w:t xml:space="preserve"> </w:t>
      </w:r>
      <w:r w:rsidR="00713CE8">
        <w:rPr>
          <w:color w:val="000000" w:themeColor="text1"/>
          <w:u w:color="000000" w:themeColor="text1"/>
        </w:rPr>
        <w:t>must</w:t>
      </w:r>
      <w:r w:rsidRPr="00F11AC2">
        <w:rPr>
          <w:color w:val="000000" w:themeColor="text1"/>
          <w:u w:color="000000" w:themeColor="text1"/>
        </w:rPr>
        <w:t xml:space="preserve"> be admissible in the second phase of a bifurcated trial </w:t>
      </w:r>
      <w:r w:rsidR="00713CE8">
        <w:rPr>
          <w:color w:val="000000" w:themeColor="text1"/>
          <w:u w:color="000000" w:themeColor="text1"/>
        </w:rPr>
        <w:t>pursuant to</w:t>
      </w:r>
      <w:r w:rsidRPr="00F11AC2">
        <w:rPr>
          <w:color w:val="000000" w:themeColor="text1"/>
          <w:u w:color="000000" w:themeColor="text1"/>
        </w:rPr>
        <w:t xml:space="preserve"> Section 15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32</w:t>
      </w:r>
      <w:r w:rsidR="00713CE8">
        <w:rPr>
          <w:color w:val="000000" w:themeColor="text1"/>
          <w:u w:color="000000" w:themeColor="text1"/>
        </w:rPr>
        <w:noBreakHyphen/>
      </w:r>
      <w:r w:rsidRPr="00F11AC2">
        <w:rPr>
          <w:color w:val="000000" w:themeColor="text1"/>
          <w:u w:color="000000" w:themeColor="text1"/>
        </w:rPr>
        <w:t>520(E) only for the purpose of proving wilful, wanton, or reckless conduct.</w:t>
      </w:r>
    </w:p>
    <w:p w:rsidR="005E2921" w:rsidRPr="00F11AC2" w:rsidRDefault="00713CE8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E2921" w:rsidRPr="00F11AC2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5E2921" w:rsidRPr="00F11AC2">
        <w:rPr>
          <w:color w:val="000000" w:themeColor="text1"/>
          <w:u w:color="000000" w:themeColor="text1"/>
        </w:rPr>
        <w:t>Punitive damages may not be awarded against the employer of a person holding a valid commercial driver</w:t>
      </w:r>
      <w:r w:rsidRPr="00713CE8">
        <w:rPr>
          <w:color w:val="000000" w:themeColor="text1"/>
          <w:u w:color="000000" w:themeColor="text1"/>
        </w:rPr>
        <w:t>’</w:t>
      </w:r>
      <w:r w:rsidR="005E2921" w:rsidRPr="00F11AC2">
        <w:rPr>
          <w:color w:val="000000" w:themeColor="text1"/>
          <w:u w:color="000000" w:themeColor="text1"/>
        </w:rPr>
        <w:t>s license based solely on a f</w:t>
      </w:r>
      <w:r>
        <w:rPr>
          <w:color w:val="000000" w:themeColor="text1"/>
          <w:u w:color="000000" w:themeColor="text1"/>
        </w:rPr>
        <w:t>inding of vicarious liability.”</w:t>
      </w:r>
    </w:p>
    <w:p w:rsidR="00713CE8" w:rsidRDefault="00713CE8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921" w:rsidRPr="00F11AC2" w:rsidRDefault="005E2921" w:rsidP="005E2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1AC2">
        <w:rPr>
          <w:color w:val="000000" w:themeColor="text1"/>
          <w:u w:color="000000" w:themeColor="text1"/>
        </w:rPr>
        <w:t>SECTION</w:t>
      </w:r>
      <w:r w:rsidR="00713CE8"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>2.</w:t>
      </w:r>
      <w:r w:rsidR="00713CE8">
        <w:rPr>
          <w:color w:val="000000" w:themeColor="text1"/>
          <w:u w:color="000000" w:themeColor="text1"/>
        </w:rPr>
        <w:tab/>
      </w:r>
      <w:r w:rsidRPr="00F11AC2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5541E9" w:rsidRDefault="00713C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A67" w:rsidRDefault="00A33A67" w:rsidP="00A33A67">
      <w:pPr>
        <w:suppressAutoHyphens/>
      </w:pPr>
    </w:p>
    <w:sectPr w:rsidR="00A33A67" w:rsidSect="00A33A6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693" w:rsidRDefault="00171693" w:rsidP="009F0C77">
      <w:r>
        <w:separator/>
      </w:r>
    </w:p>
  </w:endnote>
  <w:endnote w:type="continuationSeparator" w:id="0">
    <w:p w:rsidR="00171693" w:rsidRDefault="001716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47C0AF-EE16-4926-B0A1-9E98C5FECC76}"/>
    <w:embedBold r:id="rId2" w:fontKey="{D339D8A7-0882-4352-8568-B142848ABA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408F76-A629-41A5-8C88-DBF9662BC1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80C74B-7ABA-4D94-B20A-B31A91DF6C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9A2829-C3D7-4C34-8B58-25B24FF19A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A67" w:rsidRPr="00374020" w:rsidRDefault="00A33A67" w:rsidP="003740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6D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693" w:rsidRDefault="00171693" w:rsidP="009F0C77">
      <w:r>
        <w:separator/>
      </w:r>
    </w:p>
  </w:footnote>
  <w:footnote w:type="continuationSeparator" w:id="0">
    <w:p w:rsidR="00171693" w:rsidRDefault="001716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34ZW15"/>
    <w:docVar w:name="CoverBillType" w:val="b"/>
    <w:docVar w:name="docpath" w:val="L:\Council\bills\GGS\22734ZW15.DOCX"/>
    <w:docVar w:name="dvBillNumber" w:val="529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4E409B"/>
    <w:rsid w:val="00026C9A"/>
    <w:rsid w:val="00060A31"/>
    <w:rsid w:val="000965A1"/>
    <w:rsid w:val="000D7C8A"/>
    <w:rsid w:val="000E1785"/>
    <w:rsid w:val="000F39F2"/>
    <w:rsid w:val="001023A4"/>
    <w:rsid w:val="0010776B"/>
    <w:rsid w:val="00133E66"/>
    <w:rsid w:val="00134ACF"/>
    <w:rsid w:val="00144E15"/>
    <w:rsid w:val="00171693"/>
    <w:rsid w:val="001A4A62"/>
    <w:rsid w:val="001A681E"/>
    <w:rsid w:val="001D08F2"/>
    <w:rsid w:val="00202831"/>
    <w:rsid w:val="002037CA"/>
    <w:rsid w:val="002047A2"/>
    <w:rsid w:val="002239AF"/>
    <w:rsid w:val="002321B6"/>
    <w:rsid w:val="0023696B"/>
    <w:rsid w:val="00250967"/>
    <w:rsid w:val="002759C5"/>
    <w:rsid w:val="00275D64"/>
    <w:rsid w:val="00277DEE"/>
    <w:rsid w:val="00280D88"/>
    <w:rsid w:val="00294ABE"/>
    <w:rsid w:val="002A3EB4"/>
    <w:rsid w:val="00325348"/>
    <w:rsid w:val="00374020"/>
    <w:rsid w:val="00393688"/>
    <w:rsid w:val="003D411E"/>
    <w:rsid w:val="003E3C1E"/>
    <w:rsid w:val="003E6148"/>
    <w:rsid w:val="003F1CFB"/>
    <w:rsid w:val="00400EAA"/>
    <w:rsid w:val="0041760A"/>
    <w:rsid w:val="004203D7"/>
    <w:rsid w:val="004809EE"/>
    <w:rsid w:val="004E409B"/>
    <w:rsid w:val="00511EE9"/>
    <w:rsid w:val="00521E00"/>
    <w:rsid w:val="005316B3"/>
    <w:rsid w:val="005541E9"/>
    <w:rsid w:val="00577C6C"/>
    <w:rsid w:val="0058501B"/>
    <w:rsid w:val="005E2921"/>
    <w:rsid w:val="00607125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13CE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9F65C3"/>
    <w:rsid w:val="00A26D2C"/>
    <w:rsid w:val="00A33A67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0AA4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0A62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DE12A7-B048-423E-8DB5-D3BC3A44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C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C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3A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0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10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29_201503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423D2-6B4A-4040-8BB1-0521A37FB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685</Words>
  <Characters>3909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529: CDL Driver Employment Protection Act - South Carolina Legislature Online</dc:title>
  <dc:subject/>
  <dc:creator>GloriaShackelford</dc:creator>
  <cp:keywords/>
  <dc:description/>
  <cp:lastModifiedBy>N Cumfer</cp:lastModifiedBy>
  <cp:revision>2</cp:revision>
  <cp:lastPrinted>2015-03-09T20:32:00Z</cp:lastPrinted>
  <dcterms:created xsi:type="dcterms:W3CDTF">2016-12-02T17:06:00Z</dcterms:created>
  <dcterms:modified xsi:type="dcterms:W3CDTF">2016-12-02T17:06:00Z</dcterms:modified>
</cp:coreProperties>
</file>