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38B" w:rsidRDefault="00E8438B" w:rsidP="00E8438B">
      <w:pPr>
        <w:widowControl w:val="0"/>
        <w:jc w:val="center"/>
      </w:pPr>
      <w:bookmarkStart w:id="0" w:name="_GoBack"/>
      <w:bookmarkEnd w:id="0"/>
      <w:r w:rsidRPr="00E8438B">
        <w:rPr>
          <w:b/>
        </w:rPr>
        <w:t>South Carolina General Assembly</w:t>
      </w:r>
    </w:p>
    <w:p w:rsidR="00E8438B" w:rsidRDefault="00E8438B" w:rsidP="00E8438B">
      <w:pPr>
        <w:widowControl w:val="0"/>
        <w:jc w:val="center"/>
      </w:pPr>
      <w:r>
        <w:t>121st Session, 2015-2016</w:t>
      </w:r>
    </w:p>
    <w:p w:rsidR="00E8438B" w:rsidRDefault="00E8438B" w:rsidP="00E8438B">
      <w:pPr>
        <w:widowControl w:val="0"/>
      </w:pPr>
    </w:p>
    <w:p w:rsidR="00E8438B" w:rsidRDefault="00E8438B" w:rsidP="00E8438B">
      <w:pPr>
        <w:widowControl w:val="0"/>
        <w:rPr>
          <w:b/>
        </w:rPr>
      </w:pPr>
      <w:r w:rsidRPr="00E8438B">
        <w:rPr>
          <w:b/>
        </w:rPr>
        <w:t>S.</w:t>
      </w:r>
      <w:r>
        <w:rPr>
          <w:b/>
        </w:rPr>
        <w:t xml:space="preserve"> </w:t>
      </w:r>
      <w:r w:rsidRPr="00E8438B">
        <w:rPr>
          <w:b/>
        </w:rPr>
        <w:t>911</w:t>
      </w:r>
    </w:p>
    <w:p w:rsidR="00E8438B" w:rsidRDefault="00E8438B" w:rsidP="00E8438B">
      <w:pPr>
        <w:widowControl w:val="0"/>
        <w:rPr>
          <w:b/>
        </w:rPr>
      </w:pPr>
    </w:p>
    <w:p w:rsidR="00E8438B" w:rsidRDefault="00E8438B" w:rsidP="00E8438B">
      <w:pPr>
        <w:widowControl w:val="0"/>
      </w:pPr>
      <w:r w:rsidRPr="00E8438B">
        <w:rPr>
          <w:b/>
        </w:rPr>
        <w:t>STATUS INFORMATION</w:t>
      </w:r>
    </w:p>
    <w:p w:rsidR="00E8438B" w:rsidRDefault="00E8438B" w:rsidP="00E8438B">
      <w:pPr>
        <w:widowControl w:val="0"/>
      </w:pPr>
    </w:p>
    <w:p w:rsidR="00E8438B" w:rsidRDefault="00E8438B" w:rsidP="00E8438B">
      <w:pPr>
        <w:widowControl w:val="0"/>
      </w:pPr>
      <w:r>
        <w:t>General Bill</w:t>
      </w:r>
    </w:p>
    <w:p w:rsidR="00E8438B" w:rsidRDefault="0043173C" w:rsidP="00E8438B">
      <w:pPr>
        <w:widowControl w:val="0"/>
      </w:pPr>
      <w:r>
        <w:t>Sponsors: Senators L. Martin, Campsen, Massey, Hayes, Alexander, Bennett, Bright, Bryant, Campbell, Corbin, Gregory, Hembree, S. Martin, O'Dell, Peeler, Shealy, Turner, Johnson, Grooms, Williams, Davis, Verdin, Fair, Reese, Nicholson, Cleary and Lourie</w:t>
      </w:r>
    </w:p>
    <w:p w:rsidR="00E8438B" w:rsidRDefault="00E8438B" w:rsidP="00E8438B">
      <w:pPr>
        <w:widowControl w:val="0"/>
      </w:pPr>
      <w:r>
        <w:t>Document Path: l:\s-jud\bills\l. martin\jud0078.jh.docx</w:t>
      </w:r>
    </w:p>
    <w:p w:rsidR="00E8438B" w:rsidRDefault="00E8438B" w:rsidP="00E8438B">
      <w:pPr>
        <w:widowControl w:val="0"/>
      </w:pPr>
    </w:p>
    <w:p w:rsidR="0003764C" w:rsidRDefault="0003764C" w:rsidP="00E8438B">
      <w:pPr>
        <w:widowControl w:val="0"/>
      </w:pPr>
      <w:r>
        <w:t>Introduced in the Senate on January 13, 2016</w:t>
      </w:r>
    </w:p>
    <w:p w:rsidR="0003764C" w:rsidRPr="0003764C" w:rsidRDefault="0003764C" w:rsidP="00E8438B">
      <w:pPr>
        <w:widowControl w:val="0"/>
      </w:pPr>
      <w:r>
        <w:t xml:space="preserve">Currently residing in the Senate Committee on </w:t>
      </w:r>
      <w:r w:rsidRPr="0003764C">
        <w:rPr>
          <w:b/>
        </w:rPr>
        <w:t>Judiciary</w:t>
      </w:r>
    </w:p>
    <w:p w:rsidR="0003764C" w:rsidRDefault="0003764C" w:rsidP="00E8438B">
      <w:pPr>
        <w:widowControl w:val="0"/>
      </w:pPr>
    </w:p>
    <w:p w:rsidR="00E8438B" w:rsidRDefault="00E8438B" w:rsidP="00E8438B">
      <w:pPr>
        <w:widowControl w:val="0"/>
      </w:pPr>
      <w:r>
        <w:t xml:space="preserve">Summary: </w:t>
      </w:r>
      <w:r w:rsidR="00074EC9">
        <w:t>Closing fees on motor vehicle sales contracts</w:t>
      </w:r>
    </w:p>
    <w:p w:rsidR="00E8438B" w:rsidRDefault="00E8438B" w:rsidP="00E8438B">
      <w:pPr>
        <w:widowControl w:val="0"/>
      </w:pPr>
    </w:p>
    <w:p w:rsidR="00E8438B" w:rsidRDefault="00E8438B" w:rsidP="00E8438B">
      <w:pPr>
        <w:widowControl w:val="0"/>
      </w:pPr>
    </w:p>
    <w:p w:rsidR="00E8438B" w:rsidRDefault="00E8438B" w:rsidP="00E8438B">
      <w:pPr>
        <w:widowControl w:val="0"/>
        <w:tabs>
          <w:tab w:val="center" w:pos="590"/>
          <w:tab w:val="center" w:pos="1440"/>
          <w:tab w:val="left" w:pos="1872"/>
          <w:tab w:val="left" w:pos="9187"/>
        </w:tabs>
      </w:pPr>
      <w:r w:rsidRPr="00E8438B">
        <w:rPr>
          <w:b/>
        </w:rPr>
        <w:t>HISTORY OF LEGISLATIVE ACTIONS</w:t>
      </w:r>
    </w:p>
    <w:p w:rsidR="00E8438B" w:rsidRDefault="00E8438B" w:rsidP="00E8438B">
      <w:pPr>
        <w:widowControl w:val="0"/>
        <w:tabs>
          <w:tab w:val="center" w:pos="590"/>
          <w:tab w:val="center" w:pos="1440"/>
          <w:tab w:val="left" w:pos="1872"/>
          <w:tab w:val="left" w:pos="9187"/>
        </w:tabs>
      </w:pPr>
    </w:p>
    <w:p w:rsidR="00E8438B" w:rsidRPr="00E8438B" w:rsidRDefault="00E8438B" w:rsidP="00E8438B">
      <w:pPr>
        <w:widowControl w:val="0"/>
        <w:tabs>
          <w:tab w:val="center" w:pos="590"/>
          <w:tab w:val="center" w:pos="1440"/>
          <w:tab w:val="left" w:pos="1872"/>
          <w:tab w:val="left" w:pos="9187"/>
        </w:tabs>
      </w:pPr>
      <w:r w:rsidRPr="00E8438B">
        <w:rPr>
          <w:u w:val="single"/>
        </w:rPr>
        <w:tab/>
        <w:t>Date</w:t>
      </w:r>
      <w:r w:rsidRPr="00E8438B">
        <w:rPr>
          <w:u w:val="single"/>
        </w:rPr>
        <w:tab/>
        <w:t>Body</w:t>
      </w:r>
      <w:r w:rsidRPr="00E8438B">
        <w:rPr>
          <w:u w:val="single"/>
        </w:rPr>
        <w:tab/>
        <w:t>Action Description with journal page number</w:t>
      </w:r>
      <w:r w:rsidRPr="00E8438B">
        <w:rPr>
          <w:u w:val="single"/>
        </w:rPr>
        <w:tab/>
      </w:r>
    </w:p>
    <w:p w:rsidR="005744AD" w:rsidRDefault="005744AD" w:rsidP="005744AD">
      <w:pPr>
        <w:widowControl w:val="0"/>
        <w:tabs>
          <w:tab w:val="right" w:pos="1008"/>
          <w:tab w:val="left" w:pos="1152"/>
          <w:tab w:val="left" w:pos="1872"/>
          <w:tab w:val="left" w:pos="9187"/>
        </w:tabs>
        <w:ind w:left="2088" w:hanging="2088"/>
      </w:pPr>
      <w:r>
        <w:tab/>
        <w:t>12/2/2015</w:t>
      </w:r>
      <w:r>
        <w:tab/>
        <w:t>Senate</w:t>
      </w:r>
      <w:r>
        <w:tab/>
      </w:r>
      <w:r w:rsidRPr="00994210">
        <w:t>Prefiled</w:t>
      </w:r>
    </w:p>
    <w:p w:rsidR="005744AD" w:rsidRDefault="005744AD" w:rsidP="005744AD">
      <w:pPr>
        <w:widowControl w:val="0"/>
        <w:tabs>
          <w:tab w:val="right" w:pos="1008"/>
          <w:tab w:val="left" w:pos="1152"/>
          <w:tab w:val="left" w:pos="1872"/>
          <w:tab w:val="left" w:pos="9187"/>
        </w:tabs>
        <w:ind w:left="2088" w:hanging="2088"/>
      </w:pPr>
      <w:r>
        <w:tab/>
        <w:t>12/2/2015</w:t>
      </w:r>
      <w:r>
        <w:tab/>
        <w:t>Senate</w:t>
      </w:r>
      <w:r>
        <w:tab/>
      </w:r>
      <w:r w:rsidRPr="00994210">
        <w:t xml:space="preserve">Referred to Committee on </w:t>
      </w:r>
      <w:r w:rsidRPr="00994210">
        <w:rPr>
          <w:b/>
        </w:rPr>
        <w:t>Judiciary</w:t>
      </w:r>
    </w:p>
    <w:p w:rsidR="005744AD" w:rsidRDefault="005744AD" w:rsidP="005744AD">
      <w:pPr>
        <w:widowControl w:val="0"/>
        <w:tabs>
          <w:tab w:val="right" w:pos="1008"/>
          <w:tab w:val="left" w:pos="1152"/>
          <w:tab w:val="left" w:pos="1872"/>
          <w:tab w:val="left" w:pos="9187"/>
        </w:tabs>
        <w:ind w:left="2088" w:hanging="2088"/>
      </w:pPr>
      <w:r>
        <w:tab/>
        <w:t>12/3/2015</w:t>
      </w:r>
      <w:r>
        <w:tab/>
        <w:t>Senate</w:t>
      </w:r>
      <w:r>
        <w:tab/>
      </w:r>
      <w:r w:rsidRPr="00994210">
        <w:t>Referred to Subcommittee: L.Martin (ch), Hutto, Massey</w:t>
      </w:r>
    </w:p>
    <w:p w:rsidR="005744AD" w:rsidRDefault="005744AD" w:rsidP="005744AD">
      <w:pPr>
        <w:widowControl w:val="0"/>
        <w:tabs>
          <w:tab w:val="right" w:pos="1008"/>
          <w:tab w:val="left" w:pos="1152"/>
          <w:tab w:val="left" w:pos="1872"/>
          <w:tab w:val="left" w:pos="9187"/>
        </w:tabs>
        <w:ind w:left="2088" w:hanging="2088"/>
      </w:pPr>
      <w:r>
        <w:tab/>
        <w:t>1/13/2016</w:t>
      </w:r>
      <w:r>
        <w:tab/>
        <w:t>Senate</w:t>
      </w:r>
      <w:r>
        <w:tab/>
      </w:r>
      <w:r w:rsidRPr="00994210">
        <w:t>Introduced and read first time (</w:t>
      </w:r>
      <w:hyperlink r:id="rId6" w:history="1">
        <w:r w:rsidRPr="00BF4091">
          <w:rPr>
            <w:rStyle w:val="Hyperlink"/>
          </w:rPr>
          <w:t>Senate Journal</w:t>
        </w:r>
        <w:r w:rsidRPr="00BF4091">
          <w:rPr>
            <w:rStyle w:val="Hyperlink"/>
          </w:rPr>
          <w:noBreakHyphen/>
          <w:t>page 28</w:t>
        </w:r>
      </w:hyperlink>
      <w:r w:rsidRPr="00994210">
        <w:t>)</w:t>
      </w:r>
    </w:p>
    <w:p w:rsidR="005744AD" w:rsidRDefault="005744AD" w:rsidP="005744AD">
      <w:pPr>
        <w:widowControl w:val="0"/>
        <w:tabs>
          <w:tab w:val="right" w:pos="1008"/>
          <w:tab w:val="left" w:pos="1152"/>
          <w:tab w:val="left" w:pos="1872"/>
          <w:tab w:val="left" w:pos="9187"/>
        </w:tabs>
        <w:ind w:left="2088" w:hanging="2088"/>
      </w:pPr>
      <w:r>
        <w:tab/>
        <w:t>1/13/2016</w:t>
      </w:r>
      <w:r>
        <w:tab/>
        <w:t>Senate</w:t>
      </w:r>
      <w:r>
        <w:tab/>
      </w:r>
      <w:r w:rsidRPr="00994210">
        <w:t>Ref</w:t>
      </w:r>
      <w:r>
        <w:t xml:space="preserve">erred to Committee on </w:t>
      </w:r>
      <w:r w:rsidRPr="00994210">
        <w:rPr>
          <w:b/>
        </w:rPr>
        <w:t>Judiciary</w:t>
      </w:r>
      <w:r>
        <w:t xml:space="preserve"> </w:t>
      </w:r>
      <w:r w:rsidRPr="00994210">
        <w:t>(</w:t>
      </w:r>
      <w:hyperlink r:id="rId7" w:history="1">
        <w:r w:rsidRPr="00BF4091">
          <w:rPr>
            <w:rStyle w:val="Hyperlink"/>
          </w:rPr>
          <w:t>Senate Journal</w:t>
        </w:r>
        <w:r w:rsidRPr="00BF4091">
          <w:rPr>
            <w:rStyle w:val="Hyperlink"/>
          </w:rPr>
          <w:noBreakHyphen/>
          <w:t>page 28</w:t>
        </w:r>
      </w:hyperlink>
      <w:r w:rsidRPr="00994210">
        <w:t>)</w:t>
      </w:r>
    </w:p>
    <w:p w:rsidR="005744AD" w:rsidRDefault="005744AD" w:rsidP="005744AD">
      <w:pPr>
        <w:widowControl w:val="0"/>
        <w:tabs>
          <w:tab w:val="right" w:pos="1008"/>
          <w:tab w:val="left" w:pos="1152"/>
          <w:tab w:val="left" w:pos="1872"/>
          <w:tab w:val="left" w:pos="9187"/>
        </w:tabs>
        <w:ind w:left="2088" w:hanging="2088"/>
      </w:pPr>
      <w:r>
        <w:tab/>
        <w:t>1/20/2016</w:t>
      </w:r>
      <w:r>
        <w:tab/>
        <w:t>Senate</w:t>
      </w:r>
      <w:r>
        <w:tab/>
      </w:r>
      <w:r w:rsidRPr="00994210">
        <w:t>Committee repor</w:t>
      </w:r>
      <w:r>
        <w:t xml:space="preserve">t: Majority favorable, minority </w:t>
      </w:r>
      <w:r w:rsidRPr="00994210">
        <w:t xml:space="preserve">unfavorable </w:t>
      </w:r>
      <w:r w:rsidRPr="00994210">
        <w:rPr>
          <w:b/>
        </w:rPr>
        <w:t>Judiciary</w:t>
      </w:r>
      <w:r w:rsidRPr="00994210">
        <w:t xml:space="preserve"> (</w:t>
      </w:r>
      <w:hyperlink r:id="rId8" w:history="1">
        <w:r w:rsidRPr="00BF4091">
          <w:rPr>
            <w:rStyle w:val="Hyperlink"/>
          </w:rPr>
          <w:t>Senate Journal</w:t>
        </w:r>
        <w:r w:rsidRPr="00BF4091">
          <w:rPr>
            <w:rStyle w:val="Hyperlink"/>
          </w:rPr>
          <w:noBreakHyphen/>
          <w:t>page 10</w:t>
        </w:r>
      </w:hyperlink>
      <w:r w:rsidRPr="00994210">
        <w:t>)</w:t>
      </w:r>
    </w:p>
    <w:p w:rsidR="005744AD" w:rsidRDefault="005744AD" w:rsidP="005744AD">
      <w:pPr>
        <w:widowControl w:val="0"/>
        <w:tabs>
          <w:tab w:val="right" w:pos="1008"/>
          <w:tab w:val="left" w:pos="1152"/>
          <w:tab w:val="left" w:pos="1872"/>
          <w:tab w:val="left" w:pos="9187"/>
        </w:tabs>
        <w:ind w:left="2088" w:hanging="2088"/>
      </w:pPr>
      <w:r>
        <w:tab/>
        <w:t>1/21/2016</w:t>
      </w:r>
      <w:r>
        <w:tab/>
      </w:r>
      <w:r>
        <w:tab/>
      </w:r>
      <w:r w:rsidRPr="00994210">
        <w:t>Scrivener's error corrected</w:t>
      </w:r>
    </w:p>
    <w:p w:rsidR="005744AD" w:rsidRDefault="005744AD" w:rsidP="005744AD">
      <w:pPr>
        <w:widowControl w:val="0"/>
        <w:tabs>
          <w:tab w:val="right" w:pos="1008"/>
          <w:tab w:val="left" w:pos="1152"/>
          <w:tab w:val="left" w:pos="1872"/>
          <w:tab w:val="left" w:pos="9187"/>
        </w:tabs>
        <w:ind w:left="2088" w:hanging="2088"/>
        <w:rPr>
          <w:b/>
        </w:rPr>
      </w:pPr>
      <w:r>
        <w:tab/>
        <w:t>5/31/2016</w:t>
      </w:r>
      <w:r>
        <w:tab/>
        <w:t>Senate</w:t>
      </w:r>
      <w:r>
        <w:tab/>
      </w:r>
      <w:r w:rsidRPr="00994210">
        <w:t xml:space="preserve">Recommitted to Committee on </w:t>
      </w:r>
      <w:r w:rsidRPr="00994210">
        <w:rPr>
          <w:b/>
        </w:rPr>
        <w:t>Judiciary</w:t>
      </w:r>
    </w:p>
    <w:p w:rsidR="005744AD" w:rsidRDefault="005744AD" w:rsidP="005744AD">
      <w:pPr>
        <w:widowControl w:val="0"/>
        <w:tabs>
          <w:tab w:val="right" w:pos="1008"/>
          <w:tab w:val="left" w:pos="1152"/>
          <w:tab w:val="left" w:pos="1872"/>
          <w:tab w:val="left" w:pos="9187"/>
        </w:tabs>
        <w:ind w:left="2088" w:hanging="2088"/>
      </w:pPr>
    </w:p>
    <w:p w:rsidR="00E8438B" w:rsidRDefault="00E8438B" w:rsidP="00E8438B">
      <w:pPr>
        <w:widowControl w:val="0"/>
        <w:tabs>
          <w:tab w:val="right" w:pos="1008"/>
          <w:tab w:val="left" w:pos="1152"/>
          <w:tab w:val="left" w:pos="1872"/>
          <w:tab w:val="left" w:pos="9187"/>
        </w:tabs>
        <w:ind w:left="2088" w:hanging="2088"/>
      </w:pPr>
      <w:r>
        <w:t xml:space="preserve">View the latest </w:t>
      </w:r>
      <w:hyperlink r:id="rId9" w:history="1">
        <w:r w:rsidRPr="00E8438B">
          <w:rPr>
            <w:rStyle w:val="Hyperlink"/>
          </w:rPr>
          <w:t>legislative information</w:t>
        </w:r>
      </w:hyperlink>
      <w:r>
        <w:t xml:space="preserve"> at the website</w:t>
      </w:r>
    </w:p>
    <w:p w:rsidR="00E8438B" w:rsidRDefault="00E8438B" w:rsidP="00E8438B">
      <w:pPr>
        <w:widowControl w:val="0"/>
        <w:tabs>
          <w:tab w:val="right" w:pos="1008"/>
          <w:tab w:val="left" w:pos="1152"/>
          <w:tab w:val="left" w:pos="1872"/>
          <w:tab w:val="left" w:pos="9187"/>
        </w:tabs>
        <w:ind w:left="2088" w:hanging="2088"/>
      </w:pPr>
    </w:p>
    <w:p w:rsidR="00E8438B" w:rsidRPr="00E8438B" w:rsidRDefault="00E8438B" w:rsidP="00E8438B">
      <w:pPr>
        <w:widowControl w:val="0"/>
        <w:tabs>
          <w:tab w:val="right" w:pos="1008"/>
          <w:tab w:val="left" w:pos="1152"/>
          <w:tab w:val="left" w:pos="1872"/>
          <w:tab w:val="left" w:pos="9187"/>
        </w:tabs>
        <w:ind w:left="2088" w:hanging="2088"/>
      </w:pPr>
    </w:p>
    <w:p w:rsidR="00E8438B" w:rsidRDefault="00E8438B" w:rsidP="00E8438B">
      <w:pPr>
        <w:widowControl w:val="0"/>
      </w:pPr>
      <w:r w:rsidRPr="00E8438B">
        <w:rPr>
          <w:b/>
        </w:rPr>
        <w:t>VERSIONS OF THIS BILL</w:t>
      </w:r>
    </w:p>
    <w:p w:rsidR="00E8438B" w:rsidRDefault="00E8438B" w:rsidP="00E8438B">
      <w:pPr>
        <w:widowControl w:val="0"/>
      </w:pPr>
    </w:p>
    <w:p w:rsidR="00E8438B" w:rsidRDefault="00BF4091" w:rsidP="00E8438B">
      <w:pPr>
        <w:widowControl w:val="0"/>
      </w:pPr>
      <w:hyperlink r:id="rId10" w:history="1">
        <w:r w:rsidR="00E8438B">
          <w:rPr>
            <w:rStyle w:val="Hyperlink"/>
          </w:rPr>
          <w:t>12/2/2015</w:t>
        </w:r>
      </w:hyperlink>
    </w:p>
    <w:p w:rsidR="00E8438B" w:rsidRDefault="00BF4091" w:rsidP="00E8438B">
      <w:hyperlink r:id="rId11" w:history="1">
        <w:r w:rsidR="00C5586B" w:rsidRPr="00C5586B">
          <w:rPr>
            <w:rStyle w:val="Hyperlink"/>
          </w:rPr>
          <w:t>1/20/2016</w:t>
        </w:r>
      </w:hyperlink>
    </w:p>
    <w:p w:rsidR="00C5586B" w:rsidRDefault="00BF4091" w:rsidP="00E8438B">
      <w:hyperlink r:id="rId12" w:history="1">
        <w:r w:rsidR="003C21D7" w:rsidRPr="003C21D7">
          <w:rPr>
            <w:rStyle w:val="Hyperlink"/>
          </w:rPr>
          <w:t>1/21/2016</w:t>
        </w:r>
      </w:hyperlink>
    </w:p>
    <w:p w:rsidR="003C21D7" w:rsidRDefault="003C21D7" w:rsidP="00E8438B"/>
    <w:p w:rsidR="00E8438B" w:rsidRDefault="00E8438B" w:rsidP="00E8438B">
      <w:pPr>
        <w:sectPr w:rsidR="00E8438B" w:rsidSect="00E8438B">
          <w:pgSz w:w="12240" w:h="15840" w:code="1"/>
          <w:pgMar w:top="1080" w:right="1440" w:bottom="1080" w:left="1440" w:header="720" w:footer="720" w:gutter="0"/>
          <w:cols w:space="720"/>
          <w:noEndnote/>
          <w:docGrid w:linePitch="360"/>
        </w:sectPr>
      </w:pP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C21D7" w:rsidRPr="00F7210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2016</w:t>
      </w: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1D7" w:rsidRPr="00F72107" w:rsidRDefault="003C21D7" w:rsidP="00F72107">
      <w:pPr>
        <w:tabs>
          <w:tab w:val="right" w:pos="5933"/>
        </w:tabs>
        <w:suppressAutoHyphens/>
        <w:jc w:val="both"/>
        <w:rPr>
          <w:rFonts w:eastAsia="Times New Roman"/>
        </w:rPr>
      </w:pPr>
      <w:r>
        <w:rPr>
          <w:rFonts w:eastAsia="Times New Roman"/>
        </w:rPr>
        <w:tab/>
      </w:r>
      <w:r>
        <w:rPr>
          <w:rFonts w:eastAsia="Times New Roman"/>
          <w:b/>
          <w:sz w:val="36"/>
        </w:rPr>
        <w:t>S. 911</w:t>
      </w: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Campsen, Massey, Hayes, Alexander, Bennett, Bright, Bryant, Campbell, Corbin, Gregory, Hembree, S. Martin, O’Dell, Peeler, Shealy, Turner, Johnson, Grooms, Williams, Davis, Verdin, Fair, Reese, Nicholson, Cleary and Lourie</w:t>
      </w: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1D7" w:rsidRDefault="003C21D7" w:rsidP="00B01E7B">
      <w:pPr>
        <w:tabs>
          <w:tab w:val="right" w:pos="5933"/>
        </w:tabs>
        <w:suppressAutoHyphens/>
        <w:jc w:val="both"/>
        <w:rPr>
          <w:rFonts w:eastAsia="Times New Roman"/>
        </w:rPr>
      </w:pPr>
      <w:r>
        <w:rPr>
          <w:rFonts w:eastAsia="Times New Roman"/>
        </w:rPr>
        <w:t>S. Printed 1/20/16--S.</w:t>
      </w:r>
      <w:r>
        <w:rPr>
          <w:rFonts w:eastAsia="Times New Roman"/>
        </w:rPr>
        <w:tab/>
        <w:t>[SEC 1/21/16 12:57 PM]</w:t>
      </w: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3C21D7" w:rsidRPr="00F72107" w:rsidRDefault="003C21D7" w:rsidP="00F72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1D7" w:rsidRPr="00F72107" w:rsidRDefault="003C21D7" w:rsidP="00F72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911) to amend the Code of Laws of South Carolina, 1976, relating to closing fees on motor vehicle sales contracts, so as to establish a definition of a closing fee that, etc., respectfully</w:t>
      </w:r>
    </w:p>
    <w:p w:rsidR="003C21D7" w:rsidRPr="00F72107" w:rsidRDefault="003C21D7" w:rsidP="00F72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1D7" w:rsidRDefault="003C21D7" w:rsidP="00F72107">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3C21D7" w:rsidRDefault="003C21D7" w:rsidP="00F72107">
      <w:pPr>
        <w:tabs>
          <w:tab w:val="left" w:pos="3024"/>
        </w:tabs>
        <w:suppressAutoHyphens/>
        <w:jc w:val="both"/>
        <w:rPr>
          <w:rFonts w:eastAsia="Times New Roman"/>
        </w:rPr>
      </w:pPr>
      <w:r>
        <w:rPr>
          <w:rFonts w:eastAsia="Times New Roman"/>
        </w:rPr>
        <w:t>LARRY A. MARTIN</w:t>
      </w:r>
      <w:r>
        <w:rPr>
          <w:rFonts w:eastAsia="Times New Roman"/>
        </w:rPr>
        <w:tab/>
        <w:t>BRAD HUTTO</w:t>
      </w:r>
    </w:p>
    <w:p w:rsidR="003C21D7" w:rsidRDefault="003C21D7" w:rsidP="00F72107">
      <w:pPr>
        <w:tabs>
          <w:tab w:val="left" w:pos="3024"/>
        </w:tabs>
        <w:suppressAutoHyphens/>
        <w:jc w:val="both"/>
        <w:rPr>
          <w:rFonts w:eastAsia="Times New Roman"/>
        </w:rPr>
      </w:pPr>
      <w:r>
        <w:rPr>
          <w:rFonts w:eastAsia="Times New Roman"/>
        </w:rPr>
        <w:t>For Majority.</w:t>
      </w:r>
      <w:r>
        <w:rPr>
          <w:rFonts w:eastAsia="Times New Roman"/>
        </w:rPr>
        <w:tab/>
        <w:t>For Minority.</w:t>
      </w:r>
    </w:p>
    <w:p w:rsidR="003C21D7" w:rsidRPr="00F72107" w:rsidRDefault="003C21D7" w:rsidP="00F72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21D7" w:rsidSect="00F72107">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1D7" w:rsidRPr="00565E8B"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8"/>
          <w:szCs w:val="18"/>
        </w:rPr>
      </w:pPr>
    </w:p>
    <w:p w:rsidR="003C21D7" w:rsidRPr="00565E8B"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8"/>
          <w:szCs w:val="18"/>
        </w:rPr>
      </w:pPr>
    </w:p>
    <w:p w:rsidR="003C21D7" w:rsidRPr="00565E8B"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8"/>
          <w:szCs w:val="18"/>
        </w:rPr>
      </w:pP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1D7" w:rsidRPr="00522CE0"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1D7" w:rsidRPr="00522CE0"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1D7" w:rsidRPr="008F023B" w:rsidRDefault="003C21D7" w:rsidP="004F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C21D7" w:rsidRPr="00522CE0"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1D7" w:rsidRPr="00522CE0"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D4C8F">
        <w:rPr>
          <w:rFonts w:eastAsia="Times New Roman"/>
        </w:rPr>
        <w:t>TO</w:t>
      </w:r>
      <w:r>
        <w:rPr>
          <w:rFonts w:eastAsia="Times New Roman"/>
        </w:rPr>
        <w:t xml:space="preserve"> </w:t>
      </w:r>
      <w:r w:rsidRPr="00BD4C8F">
        <w:rPr>
          <w:rFonts w:eastAsia="Times New Roman"/>
        </w:rPr>
        <w:t>AMEND THE CODE O</w:t>
      </w:r>
      <w:r>
        <w:rPr>
          <w:rFonts w:eastAsia="Times New Roman"/>
        </w:rPr>
        <w:t>F LAWS OF SOUTH CAROLINA, 1976, R</w:t>
      </w:r>
      <w:r w:rsidRPr="00BD4C8F">
        <w:rPr>
          <w:rFonts w:eastAsia="Times New Roman"/>
        </w:rPr>
        <w:t>ELATING TO CLOSING FEES ON MOTOR VEHICLE SALES CONTRACTS, SO AS TO ESTABLISH A DEFINITION OF A CLOSING FEE THAT A MOTOR VEHICLE DEALER MAY CHARGE BY AMENDING SECTION 37</w:t>
      </w:r>
      <w:r w:rsidRPr="00BD4C8F">
        <w:rPr>
          <w:rFonts w:eastAsia="Times New Roman"/>
        </w:rPr>
        <w:noBreakHyphen/>
        <w:t>2</w:t>
      </w:r>
      <w:r w:rsidRPr="00BD4C8F">
        <w:rPr>
          <w:rFonts w:eastAsia="Times New Roman"/>
        </w:rPr>
        <w:noBreakHyphen/>
        <w:t>307 OF THE CODE AND TO PROVIDE AN AFFIRMATIVE DEFENSE FOR A MOTOR VEHICLE DEALER WHO COMPLIES WITH THE REQUIREMENTS OF THE CODE IS IN COMPLIANCE WITH STATE LAW; RELATING TO THE DEALERS’ ACT TO CLARIFY THE PROCEDURAL PROCESS FOR BRINGING A CLAIM SO AS TO REPEAL SECTION 56</w:t>
      </w:r>
      <w:r w:rsidRPr="00BD4C8F">
        <w:rPr>
          <w:rFonts w:eastAsia="Times New Roman"/>
        </w:rPr>
        <w:noBreakHyphen/>
        <w:t>15</w:t>
      </w:r>
      <w:r w:rsidRPr="00BD4C8F">
        <w:rPr>
          <w:rFonts w:eastAsia="Times New Roman"/>
        </w:rPr>
        <w:noBreakHyphen/>
        <w:t>110(2) AND TO AMEND THE PROCEDURAL PROCESS FOR A PERSON TO BRING A CLAIM IN AN INDIVIDUAL CAPACITY UNDER THE DEALER’S ACT IN SECTION 56</w:t>
      </w:r>
      <w:r w:rsidRPr="00BD4C8F">
        <w:rPr>
          <w:rFonts w:eastAsia="Times New Roman"/>
        </w:rPr>
        <w:noBreakHyphen/>
        <w:t>15</w:t>
      </w:r>
      <w:r w:rsidRPr="00BD4C8F">
        <w:rPr>
          <w:rFonts w:eastAsia="Times New Roman"/>
        </w:rPr>
        <w:noBreakHyphen/>
        <w:t>110(1); AND TO CLARIFY THE CURRENT PROCEDURAL PROCESS IN STATE LAW FOR A MOTOR VEHICLE TO BRING ACTION OR CLAIM FOR DAMAGE AND HARM TO ITS BUSINESS OR PROPERTY BY THE MANUFACTURER, DISTRIBUTOR</w:t>
      </w:r>
      <w:r>
        <w:rPr>
          <w:rFonts w:eastAsia="Times New Roman"/>
        </w:rPr>
        <w:t>,</w:t>
      </w:r>
      <w:r w:rsidRPr="00BD4C8F">
        <w:rPr>
          <w:rFonts w:eastAsia="Times New Roman"/>
        </w:rPr>
        <w:t xml:space="preserve"> OR OTHER PERSON BY AMENDING SECTION 56</w:t>
      </w:r>
      <w:r w:rsidRPr="00BD4C8F">
        <w:rPr>
          <w:rFonts w:eastAsia="Times New Roman"/>
        </w:rPr>
        <w:noBreakHyphen/>
        <w:t>15</w:t>
      </w:r>
      <w:r w:rsidRPr="00BD4C8F">
        <w:rPr>
          <w:rFonts w:eastAsia="Times New Roman"/>
        </w:rPr>
        <w:noBreakHyphen/>
        <w:t>30.</w:t>
      </w:r>
    </w:p>
    <w:p w:rsidR="003C21D7" w:rsidRDefault="003C2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r w:rsidRPr="001B13F4">
        <w:rPr>
          <w:rStyle w:val="bumpedfont15"/>
          <w:color w:val="000000" w:themeColor="text1"/>
          <w:sz w:val="22"/>
          <w:u w:color="000000" w:themeColor="text1"/>
        </w:rPr>
        <w:t xml:space="preserve">Whereas, the South Carolina Supreme Court held in the matter of </w:t>
      </w:r>
      <w:r w:rsidRPr="001B13F4">
        <w:rPr>
          <w:rStyle w:val="bumpedfont15"/>
          <w:color w:val="000000" w:themeColor="text1"/>
          <w:sz w:val="22"/>
          <w:u w:val="single" w:color="000000" w:themeColor="text1"/>
        </w:rPr>
        <w:t>Freeman v. J.L.H. Investments, L.P., a/k/a Hendrick Honda of Easley</w:t>
      </w:r>
      <w:r w:rsidRPr="001B13F4">
        <w:rPr>
          <w:rStyle w:val="bumpedfont15"/>
          <w:color w:val="000000" w:themeColor="text1"/>
          <w:sz w:val="22"/>
          <w:u w:color="000000" w:themeColor="text1"/>
        </w:rPr>
        <w:t xml:space="preserve"> issued on November 4, 2015</w:t>
      </w:r>
      <w:r>
        <w:rPr>
          <w:rStyle w:val="bumpedfont15"/>
          <w:color w:val="000000" w:themeColor="text1"/>
          <w:sz w:val="22"/>
          <w:u w:color="000000" w:themeColor="text1"/>
        </w:rPr>
        <w:t>,</w:t>
      </w:r>
      <w:r w:rsidRPr="001B13F4">
        <w:rPr>
          <w:rStyle w:val="bumpedfont15"/>
          <w:color w:val="000000" w:themeColor="text1"/>
          <w:sz w:val="22"/>
          <w:u w:color="000000" w:themeColor="text1"/>
        </w:rPr>
        <w:t xml:space="preserve"> that a closing fee charged by a motor vehicle dealer pursuant to Section 37</w:t>
      </w:r>
      <w:r w:rsidRPr="001B13F4">
        <w:rPr>
          <w:rStyle w:val="bumpedfont15"/>
          <w:color w:val="000000" w:themeColor="text1"/>
          <w:sz w:val="22"/>
          <w:u w:color="000000" w:themeColor="text1"/>
        </w:rPr>
        <w:noBreakHyphen/>
        <w:t>2</w:t>
      </w:r>
      <w:r w:rsidRPr="001B13F4">
        <w:rPr>
          <w:rStyle w:val="bumpedfont15"/>
          <w:color w:val="000000" w:themeColor="text1"/>
          <w:sz w:val="22"/>
          <w:u w:color="000000" w:themeColor="text1"/>
        </w:rPr>
        <w:noBreakHyphen/>
        <w:t>307 of the South Carolina Code must bear some relation to the actual expenses incurred for the closing and the majority; and</w:t>
      </w: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r w:rsidRPr="001B13F4">
        <w:rPr>
          <w:rStyle w:val="bumpedfont15"/>
          <w:color w:val="000000" w:themeColor="text1"/>
          <w:sz w:val="22"/>
          <w:u w:color="000000" w:themeColor="text1"/>
        </w:rPr>
        <w:t>Whereas, the General Assembly enacted Section 37</w:t>
      </w:r>
      <w:r w:rsidRPr="001B13F4">
        <w:rPr>
          <w:rStyle w:val="bumpedfont15"/>
          <w:color w:val="000000" w:themeColor="text1"/>
          <w:sz w:val="22"/>
          <w:u w:color="000000" w:themeColor="text1"/>
        </w:rPr>
        <w:noBreakHyphen/>
        <w:t>2</w:t>
      </w:r>
      <w:r w:rsidRPr="001B13F4">
        <w:rPr>
          <w:rStyle w:val="bumpedfont15"/>
          <w:color w:val="000000" w:themeColor="text1"/>
          <w:sz w:val="22"/>
          <w:u w:color="000000" w:themeColor="text1"/>
        </w:rPr>
        <w:noBreakHyphen/>
        <w:t xml:space="preserve">307 of the South Carolina Code in 2000 and placed the closing fee statute in the disclosure chapter of the South Carolina Consumer Protection Code as a disclosure provision if a motor vehicle dealer intends to collect or charge a closing fee; and </w:t>
      </w: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Whereas, the South Carolina Supreme Court’s Opinion, directly and adversely threatens the economic stability and ongoing viability of owners and operators of motor vehicle dealerships, their employees, vendors, customers, and communities; and</w:t>
      </w: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Whereas, there are approximately 282 franchised automotive dealerships employing 22,568 citizens in jobs throughout the State of South Carolina and their economic interests are important to their communit</w:t>
      </w:r>
      <w:r>
        <w:rPr>
          <w:rStyle w:val="bumpedfont15"/>
          <w:color w:val="000000" w:themeColor="text1"/>
          <w:sz w:val="22"/>
          <w:u w:color="000000" w:themeColor="text1"/>
        </w:rPr>
        <w:t xml:space="preserve">ies and to the State; </w:t>
      </w:r>
      <w:r w:rsidRPr="001B13F4">
        <w:rPr>
          <w:rStyle w:val="bumpedfont15"/>
          <w:color w:val="000000" w:themeColor="text1"/>
          <w:sz w:val="22"/>
          <w:u w:color="000000" w:themeColor="text1"/>
        </w:rPr>
        <w:t>and</w:t>
      </w: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r w:rsidRPr="001B13F4">
        <w:rPr>
          <w:rStyle w:val="bumpedfont15"/>
          <w:color w:val="000000" w:themeColor="text1"/>
          <w:sz w:val="22"/>
          <w:u w:color="000000" w:themeColor="text1"/>
        </w:rPr>
        <w:t>Whereas, the majority expressly invited the General Assembly to address and correct this interpretation if it disagreed with the aforementioned Opinion; and</w:t>
      </w: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r w:rsidRPr="001B13F4">
        <w:rPr>
          <w:rStyle w:val="bumpedfont15"/>
          <w:color w:val="000000" w:themeColor="text1"/>
          <w:sz w:val="22"/>
          <w:u w:color="000000" w:themeColor="text1"/>
        </w:rPr>
        <w:t>Whereas, the General Assembly enacted Section 56</w:t>
      </w:r>
      <w:r w:rsidRPr="001B13F4">
        <w:rPr>
          <w:rStyle w:val="bumpedfont15"/>
          <w:color w:val="000000" w:themeColor="text1"/>
          <w:sz w:val="22"/>
          <w:u w:color="000000" w:themeColor="text1"/>
        </w:rPr>
        <w:noBreakHyphen/>
        <w:t>15</w:t>
      </w:r>
      <w:r w:rsidRPr="001B13F4">
        <w:rPr>
          <w:rStyle w:val="bumpedfont15"/>
          <w:color w:val="000000" w:themeColor="text1"/>
          <w:sz w:val="22"/>
          <w:u w:color="000000" w:themeColor="text1"/>
        </w:rPr>
        <w:noBreakHyphen/>
        <w:t>110(2) of the Dealer’s Act (Chapter 15 of Title 56) to allow motor vehicle dealers who are aggrieved and damaged as a result of the manufacturer and/or distributor to have the ability to join together in seeking remedy and action against the manufacturer and/or distributor; and</w:t>
      </w: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 xml:space="preserve">Whereas, the General Assembly finds that the </w:t>
      </w:r>
      <w:r>
        <w:rPr>
          <w:rStyle w:val="bumpedfont15"/>
          <w:color w:val="000000" w:themeColor="text1"/>
          <w:sz w:val="22"/>
          <w:u w:color="000000" w:themeColor="text1"/>
        </w:rPr>
        <w:t>c</w:t>
      </w:r>
      <w:r w:rsidRPr="001B13F4">
        <w:rPr>
          <w:rStyle w:val="bumpedfont15"/>
          <w:color w:val="000000" w:themeColor="text1"/>
          <w:sz w:val="22"/>
          <w:u w:color="000000" w:themeColor="text1"/>
        </w:rPr>
        <w:t>ourt’</w:t>
      </w:r>
      <w:r>
        <w:rPr>
          <w:rStyle w:val="bumpedfont15"/>
          <w:color w:val="000000" w:themeColor="text1"/>
          <w:sz w:val="22"/>
          <w:u w:color="000000" w:themeColor="text1"/>
        </w:rPr>
        <w:t xml:space="preserve">s dissenting opinion </w:t>
      </w:r>
      <w:r w:rsidRPr="001B13F4">
        <w:rPr>
          <w:rStyle w:val="bumpedfont15"/>
          <w:color w:val="000000" w:themeColor="text1"/>
          <w:sz w:val="22"/>
          <w:u w:color="000000" w:themeColor="text1"/>
        </w:rPr>
        <w:t xml:space="preserve">accurately reflects the intent of the General Assembly when it enacted the Closing Fee Statute as part of the Consumer Protection Code and placed the enforcement authority with the Department of Consumer Affairs to ensure compliance with the statute and to encourage reliance on the construction of the </w:t>
      </w:r>
      <w:r>
        <w:rPr>
          <w:rStyle w:val="bumpedfont15"/>
          <w:color w:val="000000" w:themeColor="text1"/>
          <w:sz w:val="22"/>
          <w:u w:color="000000" w:themeColor="text1"/>
        </w:rPr>
        <w:t>c</w:t>
      </w:r>
      <w:r w:rsidRPr="001B13F4">
        <w:rPr>
          <w:rStyle w:val="bumpedfont15"/>
          <w:color w:val="000000" w:themeColor="text1"/>
          <w:sz w:val="22"/>
          <w:u w:color="000000" w:themeColor="text1"/>
        </w:rPr>
        <w:t xml:space="preserve">ode by the </w:t>
      </w:r>
      <w:r>
        <w:rPr>
          <w:rStyle w:val="bumpedfont15"/>
          <w:color w:val="000000" w:themeColor="text1"/>
          <w:sz w:val="22"/>
          <w:u w:color="000000" w:themeColor="text1"/>
        </w:rPr>
        <w:t>d</w:t>
      </w:r>
      <w:r w:rsidRPr="001B13F4">
        <w:rPr>
          <w:rStyle w:val="bumpedfont15"/>
          <w:color w:val="000000" w:themeColor="text1"/>
          <w:sz w:val="22"/>
          <w:u w:color="000000" w:themeColor="text1"/>
        </w:rPr>
        <w:t xml:space="preserve">epartment thereby protecting consumers and providing due regard for the interests of legitimate businesses seeking to comply with applicable requirements established by the </w:t>
      </w:r>
      <w:r>
        <w:rPr>
          <w:rStyle w:val="bumpedfont15"/>
          <w:color w:val="000000" w:themeColor="text1"/>
          <w:sz w:val="22"/>
          <w:u w:color="000000" w:themeColor="text1"/>
        </w:rPr>
        <w:t xml:space="preserve">department. </w:t>
      </w:r>
      <w:r w:rsidRPr="001B13F4">
        <w:rPr>
          <w:rStyle w:val="bumpedfont15"/>
          <w:color w:val="000000" w:themeColor="text1"/>
          <w:sz w:val="22"/>
          <w:u w:color="000000" w:themeColor="text1"/>
        </w:rPr>
        <w:t>Now</w:t>
      </w:r>
      <w:r>
        <w:rPr>
          <w:rStyle w:val="bumpedfont15"/>
          <w:color w:val="000000" w:themeColor="text1"/>
          <w:sz w:val="22"/>
          <w:u w:color="000000" w:themeColor="text1"/>
        </w:rPr>
        <w:t>,</w:t>
      </w:r>
      <w:r w:rsidRPr="001B13F4">
        <w:rPr>
          <w:rStyle w:val="bumpedfont15"/>
          <w:color w:val="000000" w:themeColor="text1"/>
          <w:sz w:val="22"/>
          <w:u w:color="000000" w:themeColor="text1"/>
        </w:rPr>
        <w:t xml:space="preserve"> therefore,</w:t>
      </w: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Be it enacted by the General Assembly of the State of South Carolina:</w:t>
      </w: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SECTION</w:t>
      </w:r>
      <w:r>
        <w:rPr>
          <w:rStyle w:val="bumpedfont15"/>
          <w:color w:val="000000" w:themeColor="text1"/>
          <w:sz w:val="22"/>
          <w:u w:color="000000" w:themeColor="text1"/>
        </w:rPr>
        <w:tab/>
      </w:r>
      <w:r w:rsidRPr="001B13F4">
        <w:rPr>
          <w:rStyle w:val="bumpedfont15"/>
          <w:color w:val="000000" w:themeColor="text1"/>
          <w:sz w:val="22"/>
          <w:u w:color="000000" w:themeColor="text1"/>
        </w:rPr>
        <w:t>1.</w:t>
      </w:r>
      <w:r>
        <w:rPr>
          <w:color w:val="000000" w:themeColor="text1"/>
          <w:sz w:val="22"/>
          <w:u w:color="000000" w:themeColor="text1"/>
        </w:rPr>
        <w:tab/>
      </w:r>
      <w:r w:rsidRPr="001B13F4">
        <w:rPr>
          <w:rStyle w:val="bumpedfont15"/>
          <w:color w:val="000000" w:themeColor="text1"/>
          <w:sz w:val="22"/>
          <w:u w:color="000000" w:themeColor="text1"/>
        </w:rPr>
        <w:t>Section 37</w:t>
      </w:r>
      <w:r w:rsidRPr="001B13F4">
        <w:rPr>
          <w:rStyle w:val="bumpedfont15"/>
          <w:color w:val="000000" w:themeColor="text1"/>
          <w:sz w:val="22"/>
          <w:u w:color="000000" w:themeColor="text1"/>
        </w:rPr>
        <w:noBreakHyphen/>
        <w:t>2</w:t>
      </w:r>
      <w:r w:rsidRPr="001B13F4">
        <w:rPr>
          <w:rStyle w:val="bumpedfont15"/>
          <w:color w:val="000000" w:themeColor="text1"/>
          <w:sz w:val="22"/>
          <w:u w:color="000000" w:themeColor="text1"/>
        </w:rPr>
        <w:noBreakHyphen/>
        <w:t>307 of the 1976 Code is amended to read:</w:t>
      </w:r>
    </w:p>
    <w:p w:rsidR="003C21D7"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Style w:val="bumpedfont15"/>
          <w:color w:val="000000" w:themeColor="text1"/>
          <w:sz w:val="22"/>
          <w:u w:color="000000" w:themeColor="text1"/>
        </w:rPr>
        <w:tab/>
      </w:r>
      <w:r w:rsidRPr="001B13F4">
        <w:rPr>
          <w:rStyle w:val="bumpedfont15"/>
          <w:color w:val="000000" w:themeColor="text1"/>
          <w:sz w:val="22"/>
          <w:u w:color="000000" w:themeColor="text1"/>
        </w:rPr>
        <w:t>“Section 37</w:t>
      </w:r>
      <w:r w:rsidRPr="001B13F4">
        <w:rPr>
          <w:rStyle w:val="bumpedfont15"/>
          <w:color w:val="000000" w:themeColor="text1"/>
          <w:sz w:val="22"/>
          <w:u w:color="000000" w:themeColor="text1"/>
        </w:rPr>
        <w:noBreakHyphen/>
        <w:t>2</w:t>
      </w:r>
      <w:r w:rsidRPr="001B13F4">
        <w:rPr>
          <w:rStyle w:val="bumpedfont15"/>
          <w:color w:val="000000" w:themeColor="text1"/>
          <w:sz w:val="22"/>
          <w:u w:color="000000" w:themeColor="text1"/>
        </w:rPr>
        <w:noBreakHyphen/>
      </w:r>
      <w:r>
        <w:rPr>
          <w:rStyle w:val="bumpedfont15"/>
          <w:color w:val="000000" w:themeColor="text1"/>
          <w:sz w:val="22"/>
          <w:u w:color="000000" w:themeColor="text1"/>
        </w:rPr>
        <w:t>307.</w:t>
      </w:r>
      <w:r>
        <w:rPr>
          <w:rStyle w:val="bumpedfont15"/>
          <w:color w:val="000000" w:themeColor="text1"/>
          <w:sz w:val="22"/>
          <w:u w:color="000000" w:themeColor="text1"/>
        </w:rPr>
        <w:tab/>
      </w:r>
      <w:r w:rsidRPr="00BD4C8F">
        <w:rPr>
          <w:rStyle w:val="bumpedfont15"/>
          <w:color w:val="000000" w:themeColor="text1"/>
          <w:sz w:val="22"/>
          <w:u w:val="single" w:color="000000" w:themeColor="text1"/>
        </w:rPr>
        <w:t>(a)</w:t>
      </w:r>
      <w:r>
        <w:rPr>
          <w:rStyle w:val="bumpedfont15"/>
          <w:color w:val="000000" w:themeColor="text1"/>
          <w:sz w:val="22"/>
          <w:u w:color="000000" w:themeColor="text1"/>
        </w:rPr>
        <w:tab/>
      </w:r>
      <w:r w:rsidRPr="001B13F4">
        <w:rPr>
          <w:rStyle w:val="bumpedfont15"/>
          <w:color w:val="000000" w:themeColor="text1"/>
          <w:sz w:val="22"/>
          <w:u w:color="000000" w:themeColor="text1"/>
        </w:rPr>
        <w:t>Every motor vehicle dealer charging closing fees on a motor vehicle sales contract shall pay a one</w:t>
      </w:r>
      <w:r w:rsidRPr="001B13F4">
        <w:rPr>
          <w:rStyle w:val="bumpedfont15"/>
          <w:color w:val="000000" w:themeColor="text1"/>
          <w:sz w:val="22"/>
          <w:u w:color="000000" w:themeColor="text1"/>
        </w:rPr>
        <w:noBreakHyphen/>
        <w:t xml:space="preserve">time registration fee of ten dollars during each state fiscal year to the Department of Consumer Affairs. </w:t>
      </w:r>
      <w:r>
        <w:rPr>
          <w:rStyle w:val="bumpedfont15"/>
          <w:color w:val="000000" w:themeColor="text1"/>
          <w:sz w:val="22"/>
          <w:u w:color="000000" w:themeColor="text1"/>
        </w:rPr>
        <w:t xml:space="preserve"> </w:t>
      </w:r>
      <w:r w:rsidRPr="001B13F4">
        <w:rPr>
          <w:rStyle w:val="bumpedfont15"/>
          <w:color w:val="000000" w:themeColor="text1"/>
          <w:sz w:val="22"/>
          <w:u w:color="000000" w:themeColor="text1"/>
        </w:rPr>
        <w:t>The closing fee must be included in the advertised price of the motor vehicle, disclosed on the sales contract, and displayed in a conspicuous location in the motor vehicle dealership.</w:t>
      </w: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val="single" w:color="000000" w:themeColor="text1"/>
        </w:rPr>
      </w:pPr>
      <w:r>
        <w:rPr>
          <w:rStyle w:val="bumpedfont15"/>
          <w:color w:val="000000" w:themeColor="text1"/>
          <w:sz w:val="22"/>
          <w:u w:color="000000" w:themeColor="text1"/>
        </w:rPr>
        <w:tab/>
      </w:r>
      <w:r w:rsidRPr="00BD4C8F">
        <w:rPr>
          <w:rStyle w:val="bumpedfont15"/>
          <w:color w:val="000000" w:themeColor="text1"/>
          <w:sz w:val="22"/>
          <w:u w:val="single" w:color="000000" w:themeColor="text1"/>
        </w:rPr>
        <w:t>(b)</w:t>
      </w:r>
      <w:r>
        <w:rPr>
          <w:rStyle w:val="bumpedfont15"/>
          <w:color w:val="000000" w:themeColor="text1"/>
          <w:sz w:val="22"/>
          <w:u w:color="000000" w:themeColor="text1"/>
        </w:rPr>
        <w:tab/>
      </w:r>
      <w:r w:rsidRPr="001B13F4">
        <w:rPr>
          <w:rStyle w:val="bumpedfont15"/>
          <w:color w:val="000000" w:themeColor="text1"/>
          <w:sz w:val="22"/>
          <w:u w:val="single" w:color="000000" w:themeColor="text1"/>
        </w:rPr>
        <w:t xml:space="preserve">A motor vehicle dealer who complies with </w:t>
      </w:r>
      <w:r>
        <w:rPr>
          <w:rStyle w:val="bumpedfont15"/>
          <w:color w:val="000000" w:themeColor="text1"/>
          <w:sz w:val="22"/>
          <w:u w:val="single" w:color="000000" w:themeColor="text1"/>
        </w:rPr>
        <w:t>s</w:t>
      </w:r>
      <w:r w:rsidRPr="001B13F4">
        <w:rPr>
          <w:rStyle w:val="bumpedfont15"/>
          <w:color w:val="000000" w:themeColor="text1"/>
          <w:sz w:val="22"/>
          <w:u w:val="single" w:color="000000" w:themeColor="text1"/>
        </w:rPr>
        <w:t>ubsection (a) above is deemed to be in compliance with the provisions of this section and may</w:t>
      </w:r>
      <w:r>
        <w:rPr>
          <w:rStyle w:val="bumpedfont15"/>
          <w:color w:val="000000" w:themeColor="text1"/>
          <w:sz w:val="22"/>
          <w:u w:val="single" w:color="000000" w:themeColor="text1"/>
        </w:rPr>
        <w:t xml:space="preserve"> lawfully charge a closing fee. </w:t>
      </w:r>
      <w:r w:rsidRPr="001B13F4">
        <w:rPr>
          <w:rStyle w:val="bumpedfont15"/>
          <w:color w:val="000000" w:themeColor="text1"/>
          <w:sz w:val="22"/>
          <w:u w:val="single" w:color="000000" w:themeColor="text1"/>
        </w:rPr>
        <w:t xml:space="preserve"> A motor vehicle dealer may assert any defenses provided to a creditor under the provision of Title 37 of the South Carolina Code of Laws whether the vehicle transaction is a credit sale or cash transaction.</w:t>
      </w: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val="single" w:color="000000" w:themeColor="text1"/>
        </w:rPr>
      </w:pPr>
    </w:p>
    <w:p w:rsidR="003C21D7" w:rsidRPr="001B13F4" w:rsidRDefault="003C21D7" w:rsidP="00BD4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C8F">
        <w:rPr>
          <w:rStyle w:val="s8"/>
          <w:color w:val="000000" w:themeColor="text1"/>
          <w:u w:color="000000" w:themeColor="text1"/>
        </w:rPr>
        <w:tab/>
      </w:r>
      <w:r w:rsidRPr="00BD4C8F">
        <w:rPr>
          <w:rStyle w:val="s8"/>
          <w:color w:val="000000" w:themeColor="text1"/>
          <w:u w:val="single" w:color="000000" w:themeColor="text1"/>
        </w:rPr>
        <w:t>(c)</w:t>
      </w:r>
      <w:r>
        <w:rPr>
          <w:rStyle w:val="s8"/>
          <w:color w:val="000000" w:themeColor="text1"/>
          <w:u w:color="000000" w:themeColor="text1"/>
        </w:rPr>
        <w:tab/>
      </w:r>
      <w:r w:rsidRPr="001B13F4">
        <w:rPr>
          <w:rStyle w:val="s8"/>
          <w:color w:val="000000" w:themeColor="text1"/>
          <w:u w:val="single" w:color="000000" w:themeColor="text1"/>
        </w:rPr>
        <w:t>The Department of Consumer Affairs shall administer this section and shall exclusively enforce the subject of motor vehicle dealer closing fees, including</w:t>
      </w:r>
      <w:r>
        <w:rPr>
          <w:rStyle w:val="s8"/>
          <w:color w:val="000000" w:themeColor="text1"/>
          <w:u w:val="single" w:color="000000" w:themeColor="text1"/>
        </w:rPr>
        <w:t>,</w:t>
      </w:r>
      <w:r w:rsidRPr="001B13F4">
        <w:rPr>
          <w:rStyle w:val="s8"/>
          <w:color w:val="000000" w:themeColor="text1"/>
          <w:u w:val="single" w:color="000000" w:themeColor="text1"/>
        </w:rPr>
        <w:t xml:space="preserve"> but not limited to</w:t>
      </w:r>
      <w:r>
        <w:rPr>
          <w:rStyle w:val="s8"/>
          <w:color w:val="000000" w:themeColor="text1"/>
          <w:u w:val="single" w:color="000000" w:themeColor="text1"/>
        </w:rPr>
        <w:t>,</w:t>
      </w:r>
      <w:r w:rsidRPr="001B13F4">
        <w:rPr>
          <w:rStyle w:val="s8"/>
          <w:color w:val="000000" w:themeColor="text1"/>
          <w:u w:val="single" w:color="000000" w:themeColor="text1"/>
        </w:rPr>
        <w:t xml:space="preserve"> this section</w:t>
      </w:r>
      <w:r w:rsidRPr="00B01E7B">
        <w:rPr>
          <w:rStyle w:val="s8"/>
          <w:color w:val="000000" w:themeColor="text1"/>
          <w:u w:val="single"/>
        </w:rPr>
        <w:t>.</w:t>
      </w: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val="single" w:color="000000" w:themeColor="text1"/>
        </w:rPr>
      </w:pP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Style w:val="bumpedfont15"/>
          <w:color w:val="000000" w:themeColor="text1"/>
          <w:sz w:val="22"/>
          <w:u w:color="000000" w:themeColor="text1"/>
        </w:rPr>
        <w:t>SECTION</w:t>
      </w:r>
      <w:r>
        <w:rPr>
          <w:rStyle w:val="bumpedfont15"/>
          <w:color w:val="000000" w:themeColor="text1"/>
          <w:sz w:val="22"/>
          <w:u w:color="000000" w:themeColor="text1"/>
        </w:rPr>
        <w:tab/>
      </w:r>
      <w:r w:rsidRPr="001B13F4">
        <w:rPr>
          <w:rStyle w:val="bumpedfont15"/>
          <w:color w:val="000000" w:themeColor="text1"/>
          <w:sz w:val="22"/>
          <w:u w:color="000000" w:themeColor="text1"/>
        </w:rPr>
        <w:t>2.</w:t>
      </w:r>
      <w:r>
        <w:rPr>
          <w:color w:val="000000" w:themeColor="text1"/>
          <w:sz w:val="22"/>
          <w:u w:color="000000" w:themeColor="text1"/>
        </w:rPr>
        <w:tab/>
      </w:r>
      <w:r w:rsidRPr="001B13F4">
        <w:rPr>
          <w:rStyle w:val="bumpedfont15"/>
          <w:color w:val="000000" w:themeColor="text1"/>
          <w:sz w:val="22"/>
          <w:u w:color="000000" w:themeColor="text1"/>
        </w:rPr>
        <w:t>Section</w:t>
      </w:r>
      <w:r>
        <w:rPr>
          <w:rStyle w:val="bumpedfont15"/>
          <w:color w:val="000000" w:themeColor="text1"/>
          <w:sz w:val="22"/>
          <w:u w:color="000000" w:themeColor="text1"/>
        </w:rPr>
        <w:t xml:space="preserve"> </w:t>
      </w:r>
      <w:r w:rsidRPr="001B13F4">
        <w:rPr>
          <w:color w:val="000000" w:themeColor="text1"/>
          <w:sz w:val="22"/>
          <w:u w:color="000000" w:themeColor="text1"/>
        </w:rPr>
        <w:t>56</w:t>
      </w:r>
      <w:r w:rsidRPr="001B13F4">
        <w:rPr>
          <w:color w:val="000000" w:themeColor="text1"/>
          <w:sz w:val="22"/>
          <w:u w:color="000000" w:themeColor="text1"/>
        </w:rPr>
        <w:noBreakHyphen/>
        <w:t>15</w:t>
      </w:r>
      <w:r w:rsidRPr="001B13F4">
        <w:rPr>
          <w:color w:val="000000" w:themeColor="text1"/>
          <w:sz w:val="22"/>
          <w:u w:color="000000" w:themeColor="text1"/>
        </w:rPr>
        <w:noBreakHyphen/>
        <w:t>110</w:t>
      </w:r>
      <w:r w:rsidRPr="001B13F4">
        <w:rPr>
          <w:rStyle w:val="bumpedfont15"/>
          <w:color w:val="000000" w:themeColor="text1"/>
          <w:sz w:val="22"/>
          <w:u w:color="000000" w:themeColor="text1"/>
        </w:rPr>
        <w:t>(1) of Article 1, Chapter 15, Title 56 of the 1976 Code is amended to read:</w:t>
      </w: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Style w:val="bumpedfont15"/>
          <w:color w:val="000000" w:themeColor="text1"/>
          <w:sz w:val="22"/>
          <w:u w:color="000000" w:themeColor="text1"/>
        </w:rPr>
        <w:tab/>
      </w:r>
      <w:r w:rsidRPr="001B13F4">
        <w:rPr>
          <w:rStyle w:val="bumpedfont15"/>
          <w:color w:val="000000" w:themeColor="text1"/>
          <w:sz w:val="22"/>
          <w:u w:color="000000" w:themeColor="text1"/>
        </w:rPr>
        <w:t>“</w:t>
      </w:r>
      <w:r>
        <w:rPr>
          <w:rStyle w:val="bumpedfont15"/>
          <w:color w:val="000000" w:themeColor="text1"/>
          <w:sz w:val="22"/>
          <w:u w:color="000000" w:themeColor="text1"/>
        </w:rPr>
        <w:t>Section 56-15-110.</w:t>
      </w:r>
      <w:r>
        <w:rPr>
          <w:rStyle w:val="bumpedfont15"/>
          <w:color w:val="000000" w:themeColor="text1"/>
          <w:sz w:val="22"/>
          <w:u w:color="000000" w:themeColor="text1"/>
        </w:rPr>
        <w:tab/>
      </w:r>
      <w:r w:rsidRPr="001B13F4">
        <w:rPr>
          <w:rStyle w:val="bumpedfont15"/>
          <w:color w:val="000000" w:themeColor="text1"/>
          <w:sz w:val="22"/>
          <w:u w:color="000000" w:themeColor="text1"/>
        </w:rPr>
        <w:t>(1)</w:t>
      </w:r>
      <w:r>
        <w:rPr>
          <w:rStyle w:val="bumpedfont15"/>
          <w:color w:val="000000" w:themeColor="text1"/>
          <w:sz w:val="22"/>
          <w:u w:color="000000" w:themeColor="text1"/>
        </w:rPr>
        <w:tab/>
      </w:r>
      <w:r w:rsidRPr="001B13F4">
        <w:rPr>
          <w:rStyle w:val="bumpedfont15"/>
          <w:color w:val="000000" w:themeColor="text1"/>
          <w:sz w:val="22"/>
          <w:u w:color="000000" w:themeColor="text1"/>
        </w:rPr>
        <w:t>In addition to temporary or permanent injunctive relief as provided in Section 56</w:t>
      </w:r>
      <w:r w:rsidRPr="001B13F4">
        <w:rPr>
          <w:rStyle w:val="bumpedfont15"/>
          <w:color w:val="000000" w:themeColor="text1"/>
          <w:sz w:val="22"/>
          <w:u w:color="000000" w:themeColor="text1"/>
        </w:rPr>
        <w:noBreakHyphen/>
        <w:t>15</w:t>
      </w:r>
      <w:r w:rsidRPr="001B13F4">
        <w:rPr>
          <w:rStyle w:val="bumpedfont15"/>
          <w:color w:val="000000" w:themeColor="text1"/>
          <w:sz w:val="22"/>
          <w:u w:color="000000" w:themeColor="text1"/>
        </w:rPr>
        <w:noBreakHyphen/>
        <w:t>40(3)(c), any person who shall be injured in his business or property by reason of anything forbidden in this chapter may sue therefor in the court of common pleas</w:t>
      </w:r>
      <w:r>
        <w:rPr>
          <w:rStyle w:val="bumpedfont15"/>
          <w:color w:val="000000" w:themeColor="text1"/>
          <w:sz w:val="22"/>
          <w:u w:color="000000" w:themeColor="text1"/>
        </w:rPr>
        <w:t xml:space="preserve"> </w:t>
      </w:r>
      <w:r w:rsidRPr="001B13F4">
        <w:rPr>
          <w:rStyle w:val="bumpedfont15"/>
          <w:color w:val="000000" w:themeColor="text1"/>
          <w:sz w:val="22"/>
          <w:u w:val="single" w:color="000000" w:themeColor="text1"/>
        </w:rPr>
        <w:t>individually, but not in a representative or group capacity, nor</w:t>
      </w:r>
      <w:r w:rsidRPr="00BD4C8F">
        <w:rPr>
          <w:rStyle w:val="bumpedfont15"/>
          <w:color w:val="000000" w:themeColor="text1"/>
          <w:sz w:val="22"/>
          <w:u w:val="single" w:color="000000" w:themeColor="text1"/>
        </w:rPr>
        <w:t xml:space="preserve"> </w:t>
      </w:r>
      <w:r w:rsidRPr="00BD4C8F">
        <w:rPr>
          <w:rStyle w:val="s9"/>
          <w:color w:val="000000" w:themeColor="text1"/>
          <w:sz w:val="22"/>
          <w:u w:val="single" w:color="000000" w:themeColor="text1"/>
        </w:rPr>
        <w:t>acting as a private attorneys general,</w:t>
      </w:r>
      <w:r>
        <w:rPr>
          <w:rStyle w:val="bumpedfont15"/>
          <w:color w:val="000000" w:themeColor="text1"/>
          <w:sz w:val="22"/>
          <w:u w:color="000000" w:themeColor="text1"/>
        </w:rPr>
        <w:t xml:space="preserve"> </w:t>
      </w:r>
      <w:r w:rsidRPr="001B13F4">
        <w:rPr>
          <w:rStyle w:val="bumpedfont15"/>
          <w:color w:val="000000" w:themeColor="text1"/>
          <w:sz w:val="22"/>
          <w:u w:color="000000" w:themeColor="text1"/>
        </w:rPr>
        <w:t>and shall recover double the actual damages by him sustained, and the cost of suit, including a reasonable attorney’s fee</w:t>
      </w:r>
      <w:r w:rsidRPr="001B13F4">
        <w:rPr>
          <w:color w:val="000000" w:themeColor="text1"/>
          <w:sz w:val="22"/>
          <w:u w:color="000000" w:themeColor="text1"/>
        </w:rPr>
        <w:t xml:space="preserve"> </w:t>
      </w:r>
      <w:r w:rsidRPr="001B13F4">
        <w:rPr>
          <w:color w:val="000000" w:themeColor="text1"/>
          <w:sz w:val="22"/>
          <w:u w:val="single" w:color="000000" w:themeColor="text1"/>
        </w:rPr>
        <w:t>and costs</w:t>
      </w:r>
      <w:r w:rsidRPr="001B13F4">
        <w:rPr>
          <w:color w:val="000000" w:themeColor="text1"/>
          <w:sz w:val="22"/>
          <w:u w:color="000000" w:themeColor="text1"/>
        </w:rPr>
        <w:t>.”</w:t>
      </w: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SECTION</w:t>
      </w:r>
      <w:r>
        <w:rPr>
          <w:color w:val="000000" w:themeColor="text1"/>
          <w:sz w:val="22"/>
          <w:u w:color="000000" w:themeColor="text1"/>
        </w:rPr>
        <w:tab/>
      </w:r>
      <w:r w:rsidRPr="001B13F4">
        <w:rPr>
          <w:rStyle w:val="bumpedfont15"/>
          <w:color w:val="000000" w:themeColor="text1"/>
          <w:sz w:val="22"/>
          <w:u w:color="000000" w:themeColor="text1"/>
        </w:rPr>
        <w:t>3.</w:t>
      </w:r>
      <w:r>
        <w:rPr>
          <w:color w:val="000000" w:themeColor="text1"/>
          <w:sz w:val="22"/>
          <w:u w:color="000000" w:themeColor="text1"/>
        </w:rPr>
        <w:tab/>
      </w:r>
      <w:r w:rsidRPr="001B13F4">
        <w:rPr>
          <w:rStyle w:val="bumpedfont15"/>
          <w:color w:val="000000" w:themeColor="text1"/>
          <w:sz w:val="22"/>
          <w:u w:color="000000" w:themeColor="text1"/>
        </w:rPr>
        <w:t>Section</w:t>
      </w:r>
      <w:r>
        <w:rPr>
          <w:rStyle w:val="bumpedfont15"/>
          <w:color w:val="000000" w:themeColor="text1"/>
          <w:sz w:val="22"/>
          <w:u w:color="000000" w:themeColor="text1"/>
        </w:rPr>
        <w:t xml:space="preserve"> </w:t>
      </w:r>
      <w:r w:rsidRPr="001B13F4">
        <w:rPr>
          <w:color w:val="000000" w:themeColor="text1"/>
          <w:sz w:val="22"/>
          <w:u w:color="000000" w:themeColor="text1"/>
        </w:rPr>
        <w:t>56</w:t>
      </w:r>
      <w:r w:rsidRPr="001B13F4">
        <w:rPr>
          <w:color w:val="000000" w:themeColor="text1"/>
          <w:sz w:val="22"/>
          <w:u w:color="000000" w:themeColor="text1"/>
        </w:rPr>
        <w:noBreakHyphen/>
        <w:t>15</w:t>
      </w:r>
      <w:r w:rsidRPr="001B13F4">
        <w:rPr>
          <w:color w:val="000000" w:themeColor="text1"/>
          <w:sz w:val="22"/>
          <w:u w:color="000000" w:themeColor="text1"/>
        </w:rPr>
        <w:noBreakHyphen/>
        <w:t>110</w:t>
      </w:r>
      <w:r w:rsidRPr="001B13F4">
        <w:rPr>
          <w:rStyle w:val="bumpedfont15"/>
          <w:color w:val="000000" w:themeColor="text1"/>
          <w:sz w:val="22"/>
          <w:u w:color="000000" w:themeColor="text1"/>
        </w:rPr>
        <w:t>(2) of the 1976 Code is repealed.</w:t>
      </w: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Style w:val="bumpedfont15"/>
          <w:color w:val="000000" w:themeColor="text1"/>
          <w:sz w:val="22"/>
          <w:u w:color="000000" w:themeColor="text1"/>
        </w:rPr>
        <w:t>SECTION</w:t>
      </w:r>
      <w:r>
        <w:rPr>
          <w:rStyle w:val="bumpedfont15"/>
          <w:color w:val="000000" w:themeColor="text1"/>
          <w:sz w:val="22"/>
          <w:u w:color="000000" w:themeColor="text1"/>
        </w:rPr>
        <w:tab/>
      </w:r>
      <w:r w:rsidRPr="001B13F4">
        <w:rPr>
          <w:rStyle w:val="bumpedfont15"/>
          <w:color w:val="000000" w:themeColor="text1"/>
          <w:sz w:val="22"/>
          <w:u w:color="000000" w:themeColor="text1"/>
        </w:rPr>
        <w:t>4.</w:t>
      </w:r>
      <w:r>
        <w:rPr>
          <w:rStyle w:val="bumpedfont15"/>
          <w:color w:val="000000" w:themeColor="text1"/>
          <w:sz w:val="22"/>
          <w:u w:color="000000" w:themeColor="text1"/>
        </w:rPr>
        <w:tab/>
      </w:r>
      <w:r w:rsidRPr="001B13F4">
        <w:rPr>
          <w:rStyle w:val="bumpedfont15"/>
          <w:color w:val="000000" w:themeColor="text1"/>
          <w:sz w:val="22"/>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3C21D7" w:rsidRPr="001B13F4" w:rsidRDefault="003C21D7"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C21D7" w:rsidRPr="00522CE0" w:rsidRDefault="003C21D7" w:rsidP="00BD4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13F4">
        <w:rPr>
          <w:rStyle w:val="bumpedfont15"/>
          <w:color w:val="000000" w:themeColor="text1"/>
          <w:u w:color="000000" w:themeColor="text1"/>
        </w:rPr>
        <w:t>SECTION</w:t>
      </w:r>
      <w:r>
        <w:rPr>
          <w:color w:val="000000" w:themeColor="text1"/>
          <w:u w:color="000000" w:themeColor="text1"/>
        </w:rPr>
        <w:tab/>
      </w:r>
      <w:r w:rsidRPr="001B13F4">
        <w:rPr>
          <w:rStyle w:val="bumpedfont15"/>
          <w:color w:val="000000" w:themeColor="text1"/>
          <w:u w:color="000000" w:themeColor="text1"/>
        </w:rPr>
        <w:t>5.</w:t>
      </w:r>
      <w:r>
        <w:rPr>
          <w:color w:val="000000" w:themeColor="text1"/>
          <w:u w:color="000000" w:themeColor="text1"/>
        </w:rPr>
        <w:tab/>
      </w:r>
      <w:r w:rsidRPr="001B13F4">
        <w:rPr>
          <w:rStyle w:val="s2"/>
          <w:color w:val="000000" w:themeColor="text1"/>
          <w:u w:color="000000" w:themeColor="text1"/>
        </w:rPr>
        <w:t xml:space="preserve">This act takes effect upon approval by the Governor, and </w:t>
      </w:r>
      <w:r w:rsidRPr="001B13F4">
        <w:rPr>
          <w:color w:val="000000" w:themeColor="text1"/>
          <w:u w:color="000000" w:themeColor="text1"/>
        </w:rPr>
        <w:t xml:space="preserve">shall apply to any and all causes of action, including appeals, pending on January 12, 2016, which have not been reduced to final judgment, and this act shall apply </w:t>
      </w:r>
      <w:r w:rsidRPr="001B13F4">
        <w:rPr>
          <w:rStyle w:val="s2"/>
          <w:color w:val="000000" w:themeColor="text1"/>
          <w:u w:color="000000" w:themeColor="text1"/>
        </w:rPr>
        <w:t>to any matter pending and unresolved on the effective date of this act.</w:t>
      </w:r>
    </w:p>
    <w:p w:rsidR="003C21D7" w:rsidRDefault="003C21D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438B" w:rsidRDefault="00E8438B" w:rsidP="003C2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8438B" w:rsidSect="00F72107">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82B" w:rsidRDefault="0040382B" w:rsidP="00522CE0">
      <w:r>
        <w:separator/>
      </w:r>
    </w:p>
  </w:endnote>
  <w:endnote w:type="continuationSeparator" w:id="0">
    <w:p w:rsidR="0040382B" w:rsidRDefault="004038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2B1EC3-D21A-4DD6-92B3-44C60F0D33C4}"/>
    <w:embedBold r:id="rId2" w:fontKey="{88B9EBA2-6869-417E-B843-AB0CC35B1969}"/>
  </w:font>
  <w:font w:name="Calibri">
    <w:panose1 w:val="020F0502020204030204"/>
    <w:charset w:val="00"/>
    <w:family w:val="swiss"/>
    <w:pitch w:val="variable"/>
    <w:sig w:usb0="E00002FF" w:usb1="4000ACFF" w:usb2="00000001" w:usb3="00000000" w:csb0="0000019F" w:csb1="00000000"/>
    <w:embedRegular r:id="rId3" w:fontKey="{6A42A1A5-0330-4C73-91DF-6240D36F47F6}"/>
    <w:embedBold r:id="rId4" w:fontKey="{C4002131-3222-40AE-864B-5045B4BB3AF5}"/>
  </w:font>
  <w:font w:name="Segoe UI">
    <w:panose1 w:val="020B0502040204020203"/>
    <w:charset w:val="00"/>
    <w:family w:val="swiss"/>
    <w:pitch w:val="variable"/>
    <w:sig w:usb0="E10022FF" w:usb1="C000E47F" w:usb2="00000029" w:usb3="00000000" w:csb0="000001DF" w:csb1="00000000"/>
    <w:embedRegular r:id="rId5" w:fontKey="{6B288ED4-485E-498F-947A-5269DCA16A87}"/>
  </w:font>
  <w:font w:name="Cambria">
    <w:panose1 w:val="02040503050406030204"/>
    <w:charset w:val="00"/>
    <w:family w:val="roman"/>
    <w:pitch w:val="variable"/>
    <w:sig w:usb0="E00002FF" w:usb1="400004FF" w:usb2="00000000" w:usb3="00000000" w:csb0="0000019F" w:csb1="00000000"/>
    <w:embedRegular r:id="rId6" w:fontKey="{F2DEE4AB-65C3-4ADD-84F0-FC28A05B33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1D7" w:rsidRPr="004F0624" w:rsidRDefault="003C21D7" w:rsidP="004F0624">
    <w:pPr>
      <w:pStyle w:val="Footer"/>
      <w:tabs>
        <w:tab w:val="clear" w:pos="4680"/>
        <w:tab w:val="clear" w:pos="9360"/>
        <w:tab w:val="center" w:pos="2995"/>
      </w:tabs>
      <w:spacing w:before="120"/>
    </w:pPr>
    <w:r>
      <w:t>[911-</w:t>
    </w:r>
    <w:r>
      <w:fldChar w:fldCharType="begin"/>
    </w:r>
    <w:r>
      <w:instrText xml:space="preserve"> PAGE  \* MERGEFORMAT </w:instrText>
    </w:r>
    <w:r>
      <w:fldChar w:fldCharType="separate"/>
    </w:r>
    <w:r w:rsidR="00BF409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107" w:rsidRPr="004F0624" w:rsidRDefault="003C21D7" w:rsidP="004F0624">
    <w:pPr>
      <w:pStyle w:val="Footer"/>
      <w:tabs>
        <w:tab w:val="clear" w:pos="4680"/>
        <w:tab w:val="clear" w:pos="9360"/>
        <w:tab w:val="center" w:pos="2995"/>
      </w:tabs>
      <w:spacing w:before="120"/>
    </w:pPr>
    <w:r>
      <w:t>[911]</w:t>
    </w:r>
    <w:r>
      <w:tab/>
    </w:r>
    <w:r>
      <w:fldChar w:fldCharType="begin"/>
    </w:r>
    <w:r>
      <w:instrText xml:space="preserve"> PAGE  \* MERGEFORMAT </w:instrText>
    </w:r>
    <w:r>
      <w:fldChar w:fldCharType="separate"/>
    </w:r>
    <w:r w:rsidR="00BF40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82B" w:rsidRDefault="0040382B" w:rsidP="00522CE0">
      <w:r>
        <w:separator/>
      </w:r>
    </w:p>
  </w:footnote>
  <w:footnote w:type="continuationSeparator" w:id="0">
    <w:p w:rsidR="0040382B" w:rsidRDefault="004038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8.JH"/>
    <w:docVar w:name="CoverAttorneyInitials" w:val="JH"/>
    <w:docVar w:name="CoverAttorneyLastName" w:val="Hazzard"/>
    <w:docVar w:name="CoverBillType" w:val="b"/>
    <w:docVar w:name="DraftFileName" w:val="JUD0078.JH.DOCX"/>
    <w:docVar w:name="DraftStenoName" w:val="Knipp"/>
    <w:docVar w:name="dvBillNumber" w:val="911"/>
    <w:docVar w:name="dvBillNumberPrefix" w:val="S. "/>
    <w:docVar w:name="dvOriginalBody" w:val="Senate"/>
    <w:docVar w:name="fulldraftpath" w:val="L:\S-JUD\BILLS\L. Martin\JUD0078.JH.DOCX"/>
    <w:docVar w:name="NameofBody" w:val="S"/>
    <w:docVar w:name="SenatorFolderName" w:val="L. Martin"/>
    <w:docVar w:name="VGROUP2" w:val="S-JUD"/>
  </w:docVars>
  <w:rsids>
    <w:rsidRoot w:val="0040382B"/>
    <w:rsid w:val="000141EB"/>
    <w:rsid w:val="0003764C"/>
    <w:rsid w:val="00042AC1"/>
    <w:rsid w:val="00046516"/>
    <w:rsid w:val="00074EC9"/>
    <w:rsid w:val="000A4D08"/>
    <w:rsid w:val="000A6988"/>
    <w:rsid w:val="000B0720"/>
    <w:rsid w:val="000B5EAF"/>
    <w:rsid w:val="000C78DE"/>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576D1"/>
    <w:rsid w:val="002C5896"/>
    <w:rsid w:val="00307C2B"/>
    <w:rsid w:val="0031409E"/>
    <w:rsid w:val="0032109A"/>
    <w:rsid w:val="00333DF1"/>
    <w:rsid w:val="0033541C"/>
    <w:rsid w:val="00364389"/>
    <w:rsid w:val="003B678E"/>
    <w:rsid w:val="003C21D7"/>
    <w:rsid w:val="003D6A5D"/>
    <w:rsid w:val="003D6E2B"/>
    <w:rsid w:val="003E6C41"/>
    <w:rsid w:val="003E7597"/>
    <w:rsid w:val="0040382B"/>
    <w:rsid w:val="00412C9E"/>
    <w:rsid w:val="0042257B"/>
    <w:rsid w:val="0043173C"/>
    <w:rsid w:val="0043646E"/>
    <w:rsid w:val="0044023B"/>
    <w:rsid w:val="00450668"/>
    <w:rsid w:val="00452CD7"/>
    <w:rsid w:val="00453646"/>
    <w:rsid w:val="00477696"/>
    <w:rsid w:val="004952FA"/>
    <w:rsid w:val="004A05F7"/>
    <w:rsid w:val="004A592F"/>
    <w:rsid w:val="004B6A22"/>
    <w:rsid w:val="004C2918"/>
    <w:rsid w:val="004C6750"/>
    <w:rsid w:val="004D168C"/>
    <w:rsid w:val="004D6923"/>
    <w:rsid w:val="004D7F37"/>
    <w:rsid w:val="004F0624"/>
    <w:rsid w:val="0051584C"/>
    <w:rsid w:val="00520D79"/>
    <w:rsid w:val="00522CE0"/>
    <w:rsid w:val="00525DCD"/>
    <w:rsid w:val="00536221"/>
    <w:rsid w:val="00541FF6"/>
    <w:rsid w:val="00551063"/>
    <w:rsid w:val="00565148"/>
    <w:rsid w:val="00565E8B"/>
    <w:rsid w:val="005744AD"/>
    <w:rsid w:val="00581497"/>
    <w:rsid w:val="00586B30"/>
    <w:rsid w:val="0058748C"/>
    <w:rsid w:val="00593361"/>
    <w:rsid w:val="005A5017"/>
    <w:rsid w:val="005A648C"/>
    <w:rsid w:val="005F15E4"/>
    <w:rsid w:val="005F3221"/>
    <w:rsid w:val="00600221"/>
    <w:rsid w:val="00606D23"/>
    <w:rsid w:val="006150DB"/>
    <w:rsid w:val="00615870"/>
    <w:rsid w:val="00641A16"/>
    <w:rsid w:val="006431BA"/>
    <w:rsid w:val="006B4B3C"/>
    <w:rsid w:val="006C74EA"/>
    <w:rsid w:val="006D02D4"/>
    <w:rsid w:val="00720D40"/>
    <w:rsid w:val="0073026D"/>
    <w:rsid w:val="007311B4"/>
    <w:rsid w:val="007318D4"/>
    <w:rsid w:val="007373D0"/>
    <w:rsid w:val="00746551"/>
    <w:rsid w:val="00765784"/>
    <w:rsid w:val="007A4390"/>
    <w:rsid w:val="007C65B0"/>
    <w:rsid w:val="007E3B8F"/>
    <w:rsid w:val="007E5CB7"/>
    <w:rsid w:val="00814EED"/>
    <w:rsid w:val="008314D2"/>
    <w:rsid w:val="00862383"/>
    <w:rsid w:val="008804AE"/>
    <w:rsid w:val="00894939"/>
    <w:rsid w:val="008B2F42"/>
    <w:rsid w:val="008E185F"/>
    <w:rsid w:val="008E5870"/>
    <w:rsid w:val="008F023B"/>
    <w:rsid w:val="008F7524"/>
    <w:rsid w:val="00904E16"/>
    <w:rsid w:val="00927C62"/>
    <w:rsid w:val="00931A96"/>
    <w:rsid w:val="00935D11"/>
    <w:rsid w:val="00945AE4"/>
    <w:rsid w:val="00983951"/>
    <w:rsid w:val="00984124"/>
    <w:rsid w:val="00984640"/>
    <w:rsid w:val="00995C37"/>
    <w:rsid w:val="009A7B72"/>
    <w:rsid w:val="009C118A"/>
    <w:rsid w:val="00A02011"/>
    <w:rsid w:val="00A17465"/>
    <w:rsid w:val="00A35165"/>
    <w:rsid w:val="00A4011E"/>
    <w:rsid w:val="00A41565"/>
    <w:rsid w:val="00A716AA"/>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BD4C8F"/>
    <w:rsid w:val="00BF4091"/>
    <w:rsid w:val="00C23348"/>
    <w:rsid w:val="00C5586B"/>
    <w:rsid w:val="00C6454A"/>
    <w:rsid w:val="00C74052"/>
    <w:rsid w:val="00CB0C04"/>
    <w:rsid w:val="00CB187A"/>
    <w:rsid w:val="00CD1843"/>
    <w:rsid w:val="00CD7C71"/>
    <w:rsid w:val="00D03984"/>
    <w:rsid w:val="00D1088B"/>
    <w:rsid w:val="00D156D2"/>
    <w:rsid w:val="00D77EC0"/>
    <w:rsid w:val="00D86943"/>
    <w:rsid w:val="00DA2827"/>
    <w:rsid w:val="00DA47B9"/>
    <w:rsid w:val="00E31744"/>
    <w:rsid w:val="00E677A1"/>
    <w:rsid w:val="00E8438B"/>
    <w:rsid w:val="00E91E2F"/>
    <w:rsid w:val="00E92A25"/>
    <w:rsid w:val="00EA3546"/>
    <w:rsid w:val="00EB1AAC"/>
    <w:rsid w:val="00EB47AE"/>
    <w:rsid w:val="00EC34E1"/>
    <w:rsid w:val="00ED0AE1"/>
    <w:rsid w:val="00ED1307"/>
    <w:rsid w:val="00F0234A"/>
    <w:rsid w:val="00F45895"/>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F0DCFA05-8661-4036-BFBD-3CC027B7F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s5">
    <w:name w:val="s5"/>
    <w:basedOn w:val="Normal"/>
    <w:rsid w:val="00BD4C8F"/>
    <w:pPr>
      <w:spacing w:before="100" w:beforeAutospacing="1" w:after="100" w:afterAutospacing="1"/>
    </w:pPr>
    <w:rPr>
      <w:sz w:val="24"/>
      <w:szCs w:val="24"/>
    </w:rPr>
  </w:style>
  <w:style w:type="character" w:customStyle="1" w:styleId="bumpedfont15">
    <w:name w:val="bumpedfont15"/>
    <w:basedOn w:val="DefaultParagraphFont"/>
    <w:rsid w:val="00BD4C8F"/>
  </w:style>
  <w:style w:type="character" w:customStyle="1" w:styleId="s2">
    <w:name w:val="s2"/>
    <w:basedOn w:val="DefaultParagraphFont"/>
    <w:rsid w:val="00BD4C8F"/>
  </w:style>
  <w:style w:type="character" w:customStyle="1" w:styleId="s8">
    <w:name w:val="s8"/>
    <w:basedOn w:val="DefaultParagraphFont"/>
    <w:rsid w:val="00BD4C8F"/>
  </w:style>
  <w:style w:type="character" w:customStyle="1" w:styleId="s9">
    <w:name w:val="s9"/>
    <w:basedOn w:val="DefaultParagraphFont"/>
    <w:rsid w:val="00BD4C8F"/>
  </w:style>
  <w:style w:type="paragraph" w:styleId="BalloonText">
    <w:name w:val="Balloon Text"/>
    <w:basedOn w:val="Normal"/>
    <w:link w:val="BalloonTextChar"/>
    <w:uiPriority w:val="99"/>
    <w:semiHidden/>
    <w:unhideWhenUsed/>
    <w:rsid w:val="00CB0C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C04"/>
    <w:rPr>
      <w:rFonts w:ascii="Segoe UI" w:hAnsi="Segoe UI" w:cs="Segoe UI"/>
      <w:sz w:val="18"/>
      <w:szCs w:val="18"/>
    </w:rPr>
  </w:style>
  <w:style w:type="character" w:styleId="Hyperlink">
    <w:name w:val="Hyperlink"/>
    <w:basedOn w:val="DefaultParagraphFont"/>
    <w:uiPriority w:val="99"/>
    <w:unhideWhenUsed/>
    <w:rsid w:val="00E843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20-16.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hyperlink" Target="file:///p:\pprever\2015-16\911_20160121.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hyperlink" Target="file:///p:\pprever\2015-16\911_20160120.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5-16\911_20151202.docx" TargetMode="External"/><Relationship Id="rId4" Type="http://schemas.openxmlformats.org/officeDocument/2006/relationships/footnotes" Target="footnotes.xml"/><Relationship Id="rId9" Type="http://schemas.openxmlformats.org/officeDocument/2006/relationships/hyperlink" Target="http://www.scstatehouse.gov/billsearch.php?billnumbers=911&amp;session=121&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1278</Words>
  <Characters>7285</Characters>
  <Application>Microsoft Office Word</Application>
  <DocSecurity>6</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911: Closing fees on motor vehicle sales contracts - South Carolina Legislature Online</dc:title>
  <dc:subject/>
  <dc:creator>LindseyKnipp</dc:creator>
  <cp:keywords/>
  <dc:description/>
  <cp:lastModifiedBy>N Cumfer</cp:lastModifiedBy>
  <cp:revision>2</cp:revision>
  <cp:lastPrinted>2015-12-02T16:55:00Z</cp:lastPrinted>
  <dcterms:created xsi:type="dcterms:W3CDTF">2016-12-02T17:20:00Z</dcterms:created>
  <dcterms:modified xsi:type="dcterms:W3CDTF">2016-12-02T17:20:00Z</dcterms:modified>
</cp:coreProperties>
</file>