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D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A49DF" w:rsidRP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11, 2015</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Pr="00FA49DF" w:rsidRDefault="00FA49DF" w:rsidP="00FA49DF">
      <w:pPr>
        <w:pStyle w:val="BillDots"/>
        <w:tabs>
          <w:tab w:val="clear" w:pos="216"/>
          <w:tab w:val="clear" w:pos="432"/>
          <w:tab w:val="clear" w:pos="648"/>
          <w:tab w:val="clear" w:pos="864"/>
          <w:tab w:val="clear" w:pos="1080"/>
          <w:tab w:val="clear" w:pos="1296"/>
          <w:tab w:val="clear" w:pos="5904"/>
          <w:tab w:val="right" w:pos="5933"/>
        </w:tabs>
      </w:pPr>
      <w:r>
        <w:tab/>
      </w:r>
      <w:r>
        <w:rPr>
          <w:b/>
          <w:sz w:val="36"/>
        </w:rPr>
        <w:t>H. 3195</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Lucas, Murphy, Newton, Norman, Norrell, Pope, Putnam, Rivers, Spires, Tallon, Taylor, Wells, Williams, Willis, Bernstein, Long, Douglas, Henderson, G.M. Smith, McCoy, Clary, M.S. McLeod, Weeks, W.J. McLeod, Whipper, Hicks and Knight</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2/11/15--H.</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A49DF" w:rsidRPr="00FA49DF" w:rsidRDefault="00FA49DF" w:rsidP="00FA49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9DF" w:rsidRDefault="00FA49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A49DF" w:rsidSect="00395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620F" w:rsidRDefault="0091620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95DD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1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bookmarkStart w:id="3" w:name="titletop"/>
      <w:bookmarkEnd w:id="3"/>
      <w:r w:rsidRPr="00B04A9B">
        <w:rPr>
          <w:rFonts w:eastAsia="Calibri"/>
          <w:color w:val="000000"/>
          <w:szCs w:val="22"/>
          <w:u w:color="000000"/>
        </w:rPr>
        <w:t>TO AMEND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90, CODE OF LAWS OF SOUTH CAROLINA,</w:t>
      </w:r>
      <w:r w:rsidR="006B38C0">
        <w:rPr>
          <w:rFonts w:eastAsia="Calibri"/>
          <w:color w:val="000000"/>
          <w:szCs w:val="22"/>
          <w:u w:color="000000"/>
        </w:rPr>
        <w:t xml:space="preserve"> 1976,</w:t>
      </w:r>
      <w:r w:rsidRPr="00B04A9B">
        <w:rPr>
          <w:rFonts w:eastAsia="Calibri"/>
          <w:color w:val="000000"/>
          <w:szCs w:val="22"/>
          <w:u w:color="000000"/>
        </w:rPr>
        <w:t xml:space="preserve"> RELATING TO ACTS PROHIBITED OF LOBBYISTS</w:t>
      </w:r>
      <w:r w:rsidR="009647AE" w:rsidRPr="009647AE">
        <w:rPr>
          <w:rFonts w:eastAsia="Calibri"/>
          <w:color w:val="000000"/>
          <w:szCs w:val="22"/>
          <w:u w:color="000000"/>
        </w:rPr>
        <w:t>’</w:t>
      </w:r>
      <w:r w:rsidRPr="00B04A9B">
        <w:rPr>
          <w:rFonts w:eastAsia="Calibri"/>
          <w:color w:val="000000"/>
          <w:szCs w:val="22"/>
          <w:u w:color="000000"/>
        </w:rPr>
        <w:t xml:space="preserve"> PRINCIPALS, SO AS TO DELETE THE SPECIFIC AUTHORIZATION FOR AMERICAN LEGISLATIVE EXCHANGE COUNCIL CONVENTIONS AND CONFERENCES; AND TO AMEND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1348, AS AMENDED, RELATING TO THE USE OF CAMPAIGN FUNDS FOR PERSONAL EXPENSES, SO AS TO CLARIFY THE TYPE OF PROHIBITED EXPENSES.</w:t>
      </w:r>
      <w:bookmarkEnd w:id="1"/>
    </w:p>
    <w:p w:rsidR="0010776B" w:rsidRDefault="00FA4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49DF" w:rsidRDefault="00FA4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SECTION</w:t>
      </w:r>
      <w:r>
        <w:tab/>
        <w:t>1.</w:t>
      </w:r>
      <w:r>
        <w:tab/>
      </w:r>
      <w:r w:rsidRPr="00B04A9B">
        <w:rPr>
          <w:rFonts w:eastAsia="Calibri"/>
          <w:color w:val="000000"/>
          <w:szCs w:val="22"/>
          <w:u w:color="000000"/>
        </w:rPr>
        <w:t>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00CC0BA6">
        <w:rPr>
          <w:rFonts w:eastAsia="Calibri"/>
          <w:color w:val="000000"/>
          <w:szCs w:val="22"/>
          <w:u w:color="000000"/>
        </w:rPr>
        <w:t>90(A)(1) of the 1976 Code</w:t>
      </w:r>
      <w:r w:rsidR="00AF5E2F">
        <w:rPr>
          <w:rFonts w:eastAsia="Calibri"/>
          <w:color w:val="000000"/>
          <w:szCs w:val="22"/>
          <w:u w:color="000000"/>
        </w:rPr>
        <w:t xml:space="preserve"> </w:t>
      </w:r>
      <w:r w:rsidRPr="00B04A9B">
        <w:rPr>
          <w:rFonts w:eastAsia="Calibri"/>
          <w:color w:val="000000"/>
          <w:szCs w:val="22"/>
          <w:u w:color="000000"/>
        </w:rPr>
        <w:t xml:space="preserve">is </w:t>
      </w:r>
      <w:r w:rsidR="00AF5E2F">
        <w:rPr>
          <w:rFonts w:eastAsia="Calibri"/>
          <w:color w:val="000000"/>
          <w:szCs w:val="22"/>
          <w:u w:color="000000"/>
        </w:rPr>
        <w:t>amended</w:t>
      </w:r>
      <w:r w:rsidRPr="00B04A9B">
        <w:rPr>
          <w:rFonts w:eastAsia="Calibri"/>
          <w:color w:val="000000"/>
          <w:szCs w:val="22"/>
          <w:u w:color="000000"/>
        </w:rPr>
        <w:t xml:space="preserve">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t>“</w:t>
      </w:r>
      <w:r w:rsidR="00FA49DF">
        <w:rPr>
          <w:rFonts w:eastAsia="Calibri"/>
          <w:color w:val="000000"/>
          <w:szCs w:val="22"/>
          <w:u w:color="000000"/>
        </w:rPr>
        <w:t>(A)</w:t>
      </w:r>
      <w:r w:rsidR="00FA49DF">
        <w:rPr>
          <w:rFonts w:eastAsia="Calibri"/>
          <w:color w:val="000000"/>
          <w:szCs w:val="22"/>
          <w:u w:color="000000"/>
        </w:rPr>
        <w:tab/>
      </w:r>
      <w:r>
        <w:rPr>
          <w:rFonts w:eastAsia="Calibri"/>
          <w:color w:val="000000"/>
          <w:szCs w:val="22"/>
          <w:u w:color="000000"/>
        </w:rPr>
        <w:tab/>
      </w:r>
      <w:r w:rsidRPr="00B04A9B">
        <w:rPr>
          <w:rFonts w:eastAsia="Calibri"/>
          <w:color w:val="000000"/>
          <w:szCs w:val="22"/>
          <w:u w:color="000000"/>
        </w:rPr>
        <w:t>Except as otherwise provided under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100, no lobbyist</w:t>
      </w:r>
      <w:r w:rsidR="009647AE" w:rsidRPr="009647AE">
        <w:rPr>
          <w:rFonts w:eastAsia="Calibri"/>
          <w:color w:val="000000"/>
          <w:szCs w:val="22"/>
          <w:u w:color="000000"/>
        </w:rPr>
        <w:t>’</w:t>
      </w:r>
      <w:r w:rsidRPr="00B04A9B">
        <w:rPr>
          <w:rFonts w:eastAsia="Calibri"/>
          <w:color w:val="000000"/>
          <w:szCs w:val="22"/>
          <w:u w:color="000000"/>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9647AE" w:rsidRPr="009647AE">
        <w:rPr>
          <w:rFonts w:eastAsia="Calibri"/>
          <w:color w:val="000000"/>
          <w:szCs w:val="22"/>
          <w:u w:color="000000"/>
        </w:rPr>
        <w:t>’</w:t>
      </w:r>
      <w:r w:rsidRPr="00B04A9B">
        <w:rPr>
          <w:rFonts w:eastAsia="Calibri"/>
          <w:color w:val="000000"/>
          <w:szCs w:val="22"/>
          <w:u w:color="000000"/>
        </w:rPr>
        <w:t>s principal, except for:</w:t>
      </w:r>
      <w:r w:rsidRPr="00B04A9B">
        <w:rPr>
          <w:rFonts w:eastAsia="Calibri"/>
          <w:color w:val="000000"/>
          <w:szCs w:val="22"/>
          <w:u w:color="000000"/>
        </w:rPr>
        <w:tab/>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r>
      <w:r w:rsidRPr="00B04A9B">
        <w:rPr>
          <w:rFonts w:eastAsia="Calibri"/>
          <w:color w:val="000000"/>
          <w:szCs w:val="22"/>
          <w:u w:color="000000"/>
        </w:rPr>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w:t>
      </w:r>
      <w:r w:rsidRPr="00B04A9B">
        <w:rPr>
          <w:rFonts w:eastAsia="Calibri"/>
          <w:strike/>
          <w:color w:val="000000"/>
          <w:szCs w:val="22"/>
          <w:u w:color="000000"/>
        </w:rPr>
        <w:t>(a)</w:t>
      </w:r>
      <w:r w:rsidRPr="00B04A9B">
        <w:rPr>
          <w:rFonts w:eastAsia="Calibri"/>
          <w:color w:val="000000"/>
          <w:szCs w:val="22"/>
          <w:u w:color="000000"/>
        </w:rPr>
        <w:t xml:space="preserve"> national and regional conventions and conferences of organizations for which the General Assembly pays annual dues as a membership requirement </w:t>
      </w:r>
      <w:r w:rsidRPr="00B04A9B">
        <w:rPr>
          <w:rFonts w:eastAsia="Calibri"/>
          <w:strike/>
          <w:color w:val="000000"/>
          <w:szCs w:val="22"/>
          <w:u w:color="000000"/>
        </w:rPr>
        <w:t>and (b) American Legislative Exchange Council conventions and conferences</w:t>
      </w:r>
      <w:r w:rsidRPr="00B04A9B">
        <w:rPr>
          <w:rFonts w:eastAsia="Calibri"/>
          <w:color w:val="000000"/>
          <w:szCs w:val="22"/>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2.</w:t>
      </w:r>
      <w:r>
        <w:rPr>
          <w:rFonts w:eastAsia="Calibri"/>
          <w:color w:val="000000"/>
          <w:szCs w:val="22"/>
          <w:u w:color="000000"/>
        </w:rPr>
        <w:tab/>
      </w:r>
      <w:r w:rsidRPr="00B04A9B">
        <w:rPr>
          <w:rFonts w:eastAsia="Calibri"/>
          <w:color w:val="000000"/>
          <w:szCs w:val="22"/>
          <w:u w:color="000000"/>
        </w:rPr>
        <w:t>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 xml:space="preserve">1348 of the 1976 Code, as last </w:t>
      </w:r>
      <w:r w:rsidR="00AF5E2F">
        <w:rPr>
          <w:rFonts w:eastAsia="Calibri"/>
          <w:color w:val="000000"/>
          <w:szCs w:val="22"/>
          <w:u w:color="000000"/>
        </w:rPr>
        <w:t>amended by Act 225 of 2010</w:t>
      </w:r>
      <w:r w:rsidRPr="00B04A9B">
        <w:rPr>
          <w:rFonts w:eastAsia="Calibri"/>
          <w:color w:val="000000"/>
          <w:szCs w:val="22"/>
          <w:u w:color="000000"/>
        </w:rPr>
        <w:t>, is further amended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sidR="00B04A9B" w:rsidRPr="00B04A9B">
        <w:rPr>
          <w:rFonts w:eastAsia="Calibri"/>
          <w:color w:val="000000"/>
          <w:szCs w:val="22"/>
          <w:u w:color="000000"/>
        </w:rPr>
        <w:t>“Section 8</w:t>
      </w:r>
      <w:r w:rsidR="009647AE">
        <w:rPr>
          <w:rFonts w:eastAsia="Calibri"/>
          <w:color w:val="000000"/>
          <w:szCs w:val="22"/>
          <w:u w:color="000000"/>
        </w:rPr>
        <w:noBreakHyphen/>
      </w:r>
      <w:r w:rsidR="00B04A9B" w:rsidRPr="00B04A9B">
        <w:rPr>
          <w:rFonts w:eastAsia="Calibri"/>
          <w:color w:val="000000"/>
          <w:szCs w:val="22"/>
          <w:u w:color="000000"/>
        </w:rPr>
        <w:t>13</w:t>
      </w:r>
      <w:r w:rsidR="009647AE">
        <w:rPr>
          <w:rFonts w:eastAsia="Calibri"/>
          <w:color w:val="000000"/>
          <w:szCs w:val="22"/>
          <w:u w:color="000000"/>
        </w:rPr>
        <w:noBreakHyphen/>
      </w:r>
      <w:r w:rsidR="00B04A9B">
        <w:rPr>
          <w:rFonts w:eastAsia="Calibri"/>
          <w:color w:val="000000"/>
          <w:szCs w:val="22"/>
          <w:u w:color="000000"/>
        </w:rPr>
        <w:t>1348.</w:t>
      </w:r>
      <w:r w:rsidR="00B04A9B">
        <w:rPr>
          <w:rFonts w:eastAsia="Calibri"/>
          <w:color w:val="000000"/>
          <w:szCs w:val="22"/>
          <w:u w:color="000000"/>
        </w:rPr>
        <w:tab/>
        <w:t>(A)</w:t>
      </w:r>
      <w:r w:rsidR="00B04A9B">
        <w:rPr>
          <w:rFonts w:eastAsia="Calibri"/>
          <w:color w:val="000000"/>
          <w:szCs w:val="22"/>
          <w:u w:color="000000"/>
        </w:rPr>
        <w:tab/>
      </w:r>
      <w:r w:rsidR="00B04A9B" w:rsidRPr="00B04A9B">
        <w:rPr>
          <w:rFonts w:eastAsia="Calibri"/>
          <w:color w:val="000000"/>
          <w:szCs w:val="22"/>
          <w:u w:color="000000"/>
        </w:rPr>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9647AE" w:rsidRPr="009647AE">
        <w:rPr>
          <w:rFonts w:eastAsia="Calibri"/>
          <w:color w:val="000000"/>
          <w:szCs w:val="22"/>
          <w:u w:color="000000"/>
        </w:rPr>
        <w:t>’</w:t>
      </w:r>
      <w:r w:rsidR="00B04A9B" w:rsidRPr="00B04A9B">
        <w:rPr>
          <w:rFonts w:eastAsia="Calibri"/>
          <w:color w:val="000000"/>
          <w:szCs w:val="22"/>
          <w:u w:color="000000"/>
        </w:rPr>
        <w:t xml:space="preserve">s duties as a holder of elective office. </w:t>
      </w:r>
      <w:r w:rsidR="00B04A9B" w:rsidRPr="00B04A9B">
        <w:rPr>
          <w:rFonts w:eastAsia="Calibri"/>
          <w:color w:val="000000"/>
          <w:szCs w:val="22"/>
          <w:u w:val="single" w:color="000000"/>
        </w:rPr>
        <w:t>Personal expenses include:</w:t>
      </w:r>
    </w:p>
    <w:p w:rsidR="00B04A9B" w:rsidRP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Pr>
          <w:rFonts w:eastAsia="Calibri"/>
          <w:color w:val="000000"/>
          <w:szCs w:val="22"/>
          <w:u w:color="000000"/>
        </w:rPr>
        <w:tab/>
      </w:r>
      <w:r w:rsidR="00B04A9B" w:rsidRPr="00B04A9B">
        <w:rPr>
          <w:rFonts w:eastAsia="Calibri"/>
          <w:color w:val="000000"/>
          <w:szCs w:val="22"/>
          <w:u w:val="single" w:color="000000"/>
        </w:rPr>
        <w:t>(1)</w:t>
      </w:r>
      <w:r w:rsidR="00B04A9B">
        <w:rPr>
          <w:rFonts w:eastAsia="Calibri"/>
          <w:color w:val="000000"/>
          <w:szCs w:val="22"/>
          <w:u w:color="000000"/>
        </w:rPr>
        <w:tab/>
      </w:r>
      <w:r w:rsidR="00B04A9B" w:rsidRPr="00B04A9B">
        <w:rPr>
          <w:rFonts w:eastAsia="Calibri"/>
          <w:color w:val="000000"/>
          <w:szCs w:val="22"/>
          <w:u w:val="single" w:color="000000"/>
        </w:rPr>
        <w:t>fines, fees or other charges imposed by an appropriate supervisory office; or</w:t>
      </w:r>
    </w:p>
    <w:p w:rsidR="00B04A9B" w:rsidRP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sidR="00B04A9B" w:rsidRPr="00B04A9B">
        <w:rPr>
          <w:rFonts w:eastAsia="Calibri"/>
          <w:color w:val="000000"/>
          <w:szCs w:val="22"/>
          <w:u w:val="single" w:color="000000"/>
        </w:rPr>
        <w:t>(2)</w:t>
      </w:r>
      <w:r w:rsidR="00B04A9B">
        <w:rPr>
          <w:rFonts w:eastAsia="Calibri"/>
          <w:color w:val="000000"/>
          <w:szCs w:val="22"/>
          <w:u w:color="000000"/>
        </w:rPr>
        <w:tab/>
      </w:r>
      <w:r w:rsidR="00B04A9B" w:rsidRPr="00B04A9B">
        <w:rPr>
          <w:rFonts w:eastAsia="Calibri"/>
          <w:color w:val="000000"/>
          <w:szCs w:val="22"/>
          <w:u w:val="single" w:color="000000"/>
        </w:rPr>
        <w:t>fines, fees, or charges</w:t>
      </w:r>
      <w:r w:rsidR="008240DE">
        <w:rPr>
          <w:rFonts w:eastAsia="Calibri"/>
          <w:color w:val="000000"/>
          <w:szCs w:val="22"/>
          <w:u w:val="single" w:color="000000"/>
        </w:rPr>
        <w:t xml:space="preserve"> imposed by a court</w:t>
      </w:r>
      <w:r w:rsidR="00B04A9B" w:rsidRPr="00B04A9B">
        <w:rPr>
          <w:rFonts w:eastAsia="Calibri"/>
          <w:color w:val="000000"/>
          <w:szCs w:val="22"/>
          <w:u w:val="single" w:color="000000"/>
        </w:rPr>
        <w:t xml:space="preserve"> </w:t>
      </w:r>
      <w:r w:rsidR="00B04A9B">
        <w:rPr>
          <w:rFonts w:eastAsia="Calibri"/>
          <w:color w:val="000000"/>
          <w:szCs w:val="22"/>
          <w:u w:val="single" w:color="000000"/>
        </w:rPr>
        <w:t xml:space="preserve">as </w:t>
      </w:r>
      <w:r w:rsidR="00B04A9B" w:rsidRPr="00B04A9B">
        <w:rPr>
          <w:rFonts w:eastAsia="Calibri"/>
          <w:color w:val="000000"/>
          <w:szCs w:val="22"/>
          <w:u w:val="single" w:color="000000"/>
        </w:rPr>
        <w:t>a result of a criminal matter.</w:t>
      </w:r>
    </w:p>
    <w:p w:rsidR="00B04A9B" w:rsidRP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ab/>
      </w:r>
      <w:r w:rsidR="00B04A9B">
        <w:rPr>
          <w:rFonts w:eastAsia="Calibri"/>
          <w:color w:val="000000"/>
          <w:szCs w:val="22"/>
          <w:u w:color="000000"/>
        </w:rPr>
        <w:t>(B)</w:t>
      </w:r>
      <w:r w:rsidR="00B04A9B">
        <w:rPr>
          <w:rFonts w:eastAsia="Calibri"/>
          <w:color w:val="000000"/>
          <w:szCs w:val="22"/>
          <w:u w:color="000000"/>
        </w:rPr>
        <w:tab/>
      </w:r>
      <w:r w:rsidR="00B04A9B" w:rsidRPr="00B04A9B">
        <w:rPr>
          <w:rFonts w:eastAsia="Calibri"/>
          <w:color w:val="000000"/>
          <w:szCs w:val="22"/>
          <w:u w:color="000000"/>
        </w:rPr>
        <w:t xml:space="preserve">The payment </w:t>
      </w:r>
      <w:r w:rsidR="00B04A9B" w:rsidRPr="00B04A9B">
        <w:rPr>
          <w:rFonts w:eastAsia="Calibri"/>
          <w:color w:val="000000"/>
          <w:szCs w:val="22"/>
          <w:u w:val="single" w:color="000000"/>
        </w:rPr>
        <w:t>or reimbursement</w:t>
      </w:r>
      <w:r w:rsidR="00B04A9B" w:rsidRPr="00B04A9B">
        <w:rPr>
          <w:rFonts w:eastAsia="Calibri"/>
          <w:color w:val="000000"/>
          <w:szCs w:val="22"/>
          <w:u w:color="000000"/>
        </w:rPr>
        <w:t xml:space="preserve"> of reasonable and necessary </w:t>
      </w:r>
      <w:r w:rsidR="00B04A9B" w:rsidRPr="00B04A9B">
        <w:rPr>
          <w:rFonts w:eastAsia="Calibri"/>
          <w:strike/>
          <w:color w:val="000000"/>
          <w:szCs w:val="22"/>
          <w:u w:color="000000"/>
        </w:rPr>
        <w:t>travel</w:t>
      </w:r>
      <w:r w:rsidR="00B04A9B" w:rsidRPr="00B04A9B">
        <w:rPr>
          <w:rFonts w:eastAsia="Calibri"/>
          <w:color w:val="000000"/>
          <w:szCs w:val="22"/>
          <w:u w:color="000000"/>
        </w:rPr>
        <w:t xml:space="preserve"> expenses </w:t>
      </w:r>
      <w:r w:rsidR="00B04A9B" w:rsidRPr="00B04A9B">
        <w:rPr>
          <w:rFonts w:eastAsia="Calibri"/>
          <w:strike/>
          <w:color w:val="000000"/>
          <w:szCs w:val="22"/>
          <w:u w:color="000000"/>
        </w:rPr>
        <w:t>or for food or beverages consumed by the candidate or members of his immediate family while at, and in connection with, a political event are permitted</w:t>
      </w:r>
      <w:r w:rsidR="00B04A9B" w:rsidRPr="00B04A9B">
        <w:rPr>
          <w:rFonts w:eastAsia="Calibri"/>
          <w:color w:val="000000"/>
          <w:szCs w:val="22"/>
          <w:u w:color="000000"/>
        </w:rPr>
        <w:t xml:space="preserve"> </w:t>
      </w:r>
      <w:r w:rsidR="00B04A9B" w:rsidRPr="00B04A9B">
        <w:rPr>
          <w:rFonts w:eastAsia="Calibri"/>
          <w:color w:val="000000"/>
          <w:szCs w:val="22"/>
          <w:u w:val="single" w:color="000000"/>
        </w:rPr>
        <w:t>associated with the campaign or the office are permitted; however:</w:t>
      </w:r>
      <w:r w:rsidR="00B04A9B"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(1)</w:t>
      </w:r>
      <w:r>
        <w:rPr>
          <w:rFonts w:eastAsia="Calibri"/>
          <w:color w:val="000000"/>
          <w:szCs w:val="22"/>
          <w:u w:color="000000"/>
        </w:rPr>
        <w:tab/>
      </w:r>
      <w:r>
        <w:rPr>
          <w:rFonts w:eastAsia="Calibri"/>
          <w:color w:val="000000"/>
          <w:szCs w:val="22"/>
          <w:u w:val="single" w:color="000000"/>
        </w:rPr>
        <w:t xml:space="preserve">a </w:t>
      </w:r>
      <w:r w:rsidRPr="00B04A9B">
        <w:rPr>
          <w:rFonts w:eastAsia="Calibri"/>
          <w:color w:val="000000"/>
          <w:szCs w:val="22"/>
          <w:u w:val="single" w:color="000000"/>
        </w:rPr>
        <w:t>payment or reimbursement of mileage for travel associated with the campaign or office must be at the rate established for the year by the Internal Revenue Service;</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00FA49DF" w:rsidRPr="00BC1F40">
        <w:rPr>
          <w:rFonts w:eastAsia="Calibri"/>
          <w:u w:val="single" w:color="000000"/>
        </w:rPr>
        <w:t>(2)</w:t>
      </w:r>
      <w:r w:rsidR="00FA49DF" w:rsidRPr="00BC1F40">
        <w:rPr>
          <w:rFonts w:eastAsia="Calibri"/>
          <w:u w:color="000000"/>
        </w:rPr>
        <w:tab/>
      </w:r>
      <w:r w:rsidR="00FA49DF" w:rsidRPr="00BC1F40">
        <w:rPr>
          <w:rFonts w:eastAsia="Calibri"/>
          <w:u w:val="single" w:color="000000"/>
        </w:rPr>
        <w:t xml:space="preserve">the payment or reimbursement for any lodging, food and beverage, or travel expenses, other than mileage, for the candidate, a member of the candidate’s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w:t>
      </w:r>
      <w:bookmarkStart w:id="5" w:name="temp"/>
      <w:bookmarkEnd w:id="5"/>
      <w:r w:rsidR="00FA49DF" w:rsidRPr="00BC1F40">
        <w:rPr>
          <w:rFonts w:eastAsia="Calibri"/>
          <w:u w:val="single" w:color="000000"/>
        </w:rPr>
        <w:t>educational forums and conventions;</w:t>
      </w:r>
      <w:r w:rsidR="00FA49DF" w:rsidRPr="00BC1F40">
        <w:rPr>
          <w:rFonts w:eastAsia="Calibri"/>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communication or other office equipment purchased with campaign funds including, but not limited to, cell phones, computers, printers, copiers</w:t>
      </w:r>
      <w:r w:rsidR="00C2479F">
        <w:rPr>
          <w:rFonts w:eastAsia="Calibri"/>
          <w:color w:val="000000"/>
          <w:szCs w:val="22"/>
          <w:u w:val="single" w:color="000000"/>
        </w:rPr>
        <w:t>,</w:t>
      </w:r>
      <w:r w:rsidRPr="00B04A9B">
        <w:rPr>
          <w:rFonts w:eastAsia="Calibri"/>
          <w:color w:val="000000"/>
          <w:szCs w:val="22"/>
          <w:u w:val="single" w:color="000000"/>
        </w:rPr>
        <w:t xml:space="preserve"> and other similar devices are considered the sole property of the campaign and must be disclosed as assets of the campaign at the time of purchase. Further, this equipment must be accounted for pursuant to Sections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1368 and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1370 upon the final disbursement of a campaign account; and</w:t>
      </w:r>
    </w:p>
    <w:p w:rsidR="00B04A9B" w:rsidRPr="00811E0C"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00FA49DF" w:rsidRPr="00BC1F40">
        <w:rPr>
          <w:rFonts w:eastAsia="Calibri"/>
          <w:u w:val="single" w:color="000000"/>
        </w:rPr>
        <w:t>(4)</w:t>
      </w:r>
      <w:r w:rsidR="00FA49DF" w:rsidRPr="00BC1F40">
        <w:rPr>
          <w:rFonts w:eastAsia="Calibri"/>
          <w:u w:color="000000"/>
        </w:rPr>
        <w:tab/>
      </w:r>
      <w:r w:rsidR="00FA49DF" w:rsidRPr="00BC1F40">
        <w:rPr>
          <w:rFonts w:eastAsia="Calibri"/>
          <w:u w:val="single" w:color="000000"/>
        </w:rPr>
        <w:t>payments to campaign or office staff must be made contemporaneously with the work provided.  A campaign may not compensate an immediate family member of the candidate</w:t>
      </w:r>
      <w:r w:rsidR="00FA49DF" w:rsidRPr="00BC1F40">
        <w:rPr>
          <w:rFonts w:eastAsia="Calibri"/>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 xml:space="preserve">  </w:t>
      </w:r>
      <w:r>
        <w:rPr>
          <w:rFonts w:eastAsia="Calibri"/>
          <w:color w:val="000000"/>
          <w:szCs w:val="22"/>
          <w:u w:color="000000"/>
        </w:rPr>
        <w:tab/>
        <w:t>(C)(1)</w:t>
      </w:r>
      <w:r>
        <w:rPr>
          <w:rFonts w:eastAsia="Calibri"/>
          <w:color w:val="000000"/>
          <w:szCs w:val="22"/>
          <w:u w:color="000000"/>
        </w:rPr>
        <w:tab/>
      </w:r>
      <w:r w:rsidRPr="00B04A9B">
        <w:rPr>
          <w:rFonts w:eastAsia="Calibri"/>
          <w:color w:val="000000"/>
          <w:szCs w:val="22"/>
          <w:u w:color="000000"/>
        </w:rPr>
        <w:t xml:space="preserve">An expenditure </w:t>
      </w:r>
      <w:r w:rsidRPr="00B04A9B">
        <w:rPr>
          <w:rFonts w:eastAsia="Calibri"/>
          <w:strike/>
          <w:color w:val="000000"/>
          <w:szCs w:val="22"/>
          <w:u w:color="000000"/>
        </w:rPr>
        <w:t>of more than twenty</w:t>
      </w:r>
      <w:r w:rsidR="009647AE">
        <w:rPr>
          <w:rFonts w:eastAsia="Calibri"/>
          <w:strike/>
          <w:color w:val="000000"/>
          <w:szCs w:val="22"/>
          <w:u w:color="000000"/>
        </w:rPr>
        <w:noBreakHyphen/>
      </w:r>
      <w:r w:rsidRPr="00B04A9B">
        <w:rPr>
          <w:rFonts w:eastAsia="Calibri"/>
          <w:strike/>
          <w:color w:val="000000"/>
          <w:szCs w:val="22"/>
          <w:u w:color="000000"/>
        </w:rPr>
        <w:t>five dollars</w:t>
      </w:r>
      <w:r w:rsidRPr="00B04A9B">
        <w:rPr>
          <w:rFonts w:eastAsia="Calibri"/>
          <w:color w:val="000000"/>
          <w:szCs w:val="22"/>
          <w:u w:color="000000"/>
        </w:rPr>
        <w:t xml:space="preserve"> drawn upon a campaign account must be made by: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 xml:space="preserve">a </w:t>
      </w:r>
      <w:r w:rsidRPr="00B04A9B">
        <w:rPr>
          <w:rFonts w:eastAsia="Calibri"/>
          <w:strike/>
          <w:color w:val="000000"/>
          <w:szCs w:val="22"/>
          <w:u w:color="000000"/>
        </w:rPr>
        <w:t>written instrument</w:t>
      </w:r>
      <w:r w:rsidRPr="00B04A9B">
        <w:rPr>
          <w:rFonts w:eastAsia="Calibri"/>
          <w:color w:val="000000"/>
          <w:szCs w:val="22"/>
          <w:u w:color="000000"/>
        </w:rPr>
        <w:t xml:space="preserve"> </w:t>
      </w:r>
      <w:r w:rsidRPr="00B04A9B">
        <w:rPr>
          <w:rFonts w:eastAsia="Calibri"/>
          <w:color w:val="000000"/>
          <w:szCs w:val="22"/>
          <w:u w:val="single" w:color="000000"/>
        </w:rPr>
        <w:t>check drawn upon a campaign account</w:t>
      </w:r>
      <w:r w:rsidRPr="00B04A9B">
        <w:rPr>
          <w:rFonts w:eastAsia="Calibri"/>
          <w:color w:val="000000"/>
          <w:szCs w:val="22"/>
          <w:u w:color="000000"/>
        </w:rPr>
        <w:t>;</w:t>
      </w:r>
    </w:p>
    <w:p w:rsid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sidR="00B04A9B">
        <w:rPr>
          <w:rFonts w:eastAsia="Calibri"/>
          <w:color w:val="000000"/>
          <w:szCs w:val="22"/>
          <w:u w:color="000000"/>
        </w:rPr>
        <w:tab/>
      </w:r>
      <w:r w:rsidR="00B04A9B" w:rsidRPr="00B04A9B">
        <w:rPr>
          <w:rFonts w:eastAsia="Calibri"/>
          <w:color w:val="000000"/>
          <w:szCs w:val="22"/>
          <w:u w:color="000000"/>
        </w:rPr>
        <w:t xml:space="preserve">debit </w:t>
      </w:r>
      <w:r w:rsidR="00B04A9B" w:rsidRPr="00B04A9B">
        <w:rPr>
          <w:rFonts w:eastAsia="Calibri"/>
          <w:color w:val="000000"/>
          <w:szCs w:val="22"/>
          <w:u w:val="single" w:color="000000"/>
        </w:rPr>
        <w:t>or credit</w:t>
      </w:r>
      <w:r w:rsidR="00B04A9B" w:rsidRPr="00B04A9B">
        <w:rPr>
          <w:rFonts w:eastAsia="Calibri"/>
          <w:color w:val="000000"/>
          <w:szCs w:val="22"/>
          <w:u w:color="000000"/>
        </w:rPr>
        <w:t xml:space="preserve"> card; or</w:t>
      </w:r>
    </w:p>
    <w:p w:rsidR="00B04A9B" w:rsidRDefault="00FA49DF"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sidR="00B04A9B">
        <w:rPr>
          <w:rFonts w:eastAsia="Calibri"/>
          <w:color w:val="000000"/>
          <w:szCs w:val="22"/>
          <w:u w:color="000000"/>
        </w:rPr>
        <w:tab/>
      </w:r>
      <w:r w:rsidR="00B04A9B" w:rsidRPr="00B04A9B">
        <w:rPr>
          <w:rFonts w:eastAsia="Calibri"/>
          <w:color w:val="000000"/>
          <w:szCs w:val="22"/>
          <w:u w:color="000000"/>
        </w:rPr>
        <w:t>online transfers.</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strike/>
          <w:color w:val="000000"/>
          <w:szCs w:val="22"/>
          <w:u w:color="000000"/>
        </w:rPr>
        <w:t>The campaign account must contain the name of the candidate or committee, and the expenditure must contain the name of the recipient.</w:t>
      </w:r>
      <w:r w:rsidRPr="00B04A9B">
        <w:rPr>
          <w:rFonts w:eastAsia="Calibri"/>
          <w:color w:val="000000"/>
          <w:szCs w:val="22"/>
          <w:u w:color="000000"/>
        </w:rPr>
        <w:t xml:space="preserve"> These expenditures must be reported pursuant to the provisions of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1308.</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sidRPr="00B04A9B">
        <w:rPr>
          <w:rFonts w:eastAsia="Calibri"/>
          <w:strike/>
          <w:color w:val="000000"/>
          <w:szCs w:val="22"/>
          <w:u w:color="000000"/>
        </w:rPr>
        <w:t>(2)</w:t>
      </w:r>
      <w:r>
        <w:rPr>
          <w:rFonts w:eastAsia="Calibri"/>
          <w:color w:val="000000"/>
          <w:szCs w:val="22"/>
          <w:u w:color="000000"/>
        </w:rPr>
        <w:tab/>
      </w:r>
      <w:r w:rsidRPr="00B04A9B">
        <w:rPr>
          <w:rFonts w:eastAsia="Calibri"/>
          <w:strike/>
          <w:color w:val="000000"/>
          <w:szCs w:val="22"/>
          <w:u w:color="000000"/>
        </w:rPr>
        <w:t>Expenditures of twenty</w:t>
      </w:r>
      <w:r w:rsidR="009647AE">
        <w:rPr>
          <w:rFonts w:eastAsia="Calibri"/>
          <w:strike/>
          <w:color w:val="000000"/>
          <w:szCs w:val="22"/>
          <w:u w:color="000000"/>
        </w:rPr>
        <w:noBreakHyphen/>
      </w:r>
      <w:r w:rsidRPr="00B04A9B">
        <w:rPr>
          <w:rFonts w:eastAsia="Calibri"/>
          <w:strike/>
          <w:color w:val="000000"/>
          <w:szCs w:val="22"/>
          <w:u w:color="000000"/>
        </w:rPr>
        <w:t>five dollars or less that are not made by a written instrument, debit card, or online transfer containing the name of the candidate or committee and the name of the recipient must be accounted for by a written receipt or written record.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Pr>
          <w:rFonts w:eastAsia="Calibri"/>
          <w:color w:val="000000"/>
          <w:szCs w:val="22"/>
          <w:u w:val="single" w:color="000000"/>
        </w:rPr>
        <w:t>(</w:t>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Nothing in this secti</w:t>
      </w:r>
      <w:r>
        <w:rPr>
          <w:rFonts w:eastAsia="Calibri"/>
          <w:color w:val="000000"/>
          <w:szCs w:val="22"/>
          <w:u w:val="single" w:color="000000"/>
        </w:rPr>
        <w:t>on applies to an expenditure of</w:t>
      </w:r>
      <w:r w:rsidRPr="00B04A9B">
        <w:rPr>
          <w:rFonts w:eastAsia="Calibri"/>
          <w:color w:val="000000"/>
          <w:szCs w:val="22"/>
          <w:u w:val="single" w:color="000000"/>
        </w:rPr>
        <w:t xml:space="preserve"> funds not contained in a campaign bank account.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r>
      <w:r w:rsidRPr="00B04A9B">
        <w:rPr>
          <w:rFonts w:eastAsia="Calibri"/>
          <w:color w:val="000000"/>
          <w:szCs w:val="22"/>
          <w:u w:color="000000"/>
        </w:rPr>
        <w:t>An expenditure may not be made that is clearly in excess of the fair market value of services, materials, facilities, or other things of value received in exchange.</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B04A9B">
        <w:rPr>
          <w:rFonts w:eastAsia="Calibri"/>
          <w:strike/>
          <w:color w:val="000000"/>
          <w:szCs w:val="22"/>
          <w:u w:color="000000"/>
        </w:rPr>
        <w:t>(E)</w:t>
      </w:r>
      <w:r w:rsidRPr="00B04A9B">
        <w:rPr>
          <w:rFonts w:eastAsia="Calibri"/>
          <w:color w:val="000000"/>
          <w:szCs w:val="22"/>
          <w:u w:color="000000"/>
        </w:rPr>
        <w:tab/>
      </w:r>
      <w:r w:rsidRPr="00B04A9B">
        <w:rPr>
          <w:rFonts w:eastAsia="Calibri"/>
          <w:strike/>
          <w:color w:val="000000"/>
          <w:szCs w:val="22"/>
          <w:u w:color="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9647AE">
        <w:rPr>
          <w:rFonts w:eastAsia="Calibri"/>
          <w:strike/>
          <w:color w:val="000000"/>
          <w:szCs w:val="22"/>
          <w:u w:color="000000"/>
        </w:rPr>
        <w:noBreakHyphen/>
      </w:r>
      <w:r w:rsidRPr="00B04A9B">
        <w:rPr>
          <w:rFonts w:eastAsia="Calibri"/>
          <w:strike/>
          <w:color w:val="000000"/>
          <w:szCs w:val="22"/>
          <w:u w:color="000000"/>
        </w:rPr>
        <w:t>five dollars for each expenditure.</w:t>
      </w:r>
      <w:r w:rsidRPr="00B04A9B">
        <w:rPr>
          <w:rFonts w:eastAsia="Calibri"/>
          <w:color w:val="000000"/>
          <w:szCs w:val="22"/>
          <w:u w:color="000000"/>
        </w:rPr>
        <w:t xml:space="preserve">” </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A9B">
        <w:t>3</w:t>
      </w:r>
      <w:r>
        <w:t>.</w:t>
      </w:r>
      <w:r>
        <w:tab/>
        <w:t>This act takes effect upon approval by the Governor.</w:t>
      </w:r>
    </w:p>
    <w:p w:rsidR="002E3EDD" w:rsidRDefault="009647AE" w:rsidP="00C34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0179" w:rsidRDefault="00BC0179" w:rsidP="00BC0179">
      <w:pPr>
        <w:suppressAutoHyphens/>
      </w:pPr>
    </w:p>
    <w:sectPr w:rsidR="00BC0179" w:rsidSect="00395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9F" w:rsidRDefault="00C2479F" w:rsidP="009F0C77">
      <w:r>
        <w:separator/>
      </w:r>
    </w:p>
  </w:endnote>
  <w:endnote w:type="continuationSeparator" w:id="0">
    <w:p w:rsidR="00C2479F" w:rsidRDefault="00C24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3BE89D-A079-4F56-BBB6-E3EB40C70CDA}"/>
    <w:embedBold r:id="rId2" w:fontKey="{B5902660-B995-4B26-88A3-F8D27D54738E}"/>
  </w:font>
  <w:font w:name="Calibri">
    <w:panose1 w:val="020F0502020204030204"/>
    <w:charset w:val="00"/>
    <w:family w:val="swiss"/>
    <w:pitch w:val="variable"/>
    <w:sig w:usb0="E10002FF" w:usb1="4000ACFF" w:usb2="00000009" w:usb3="00000000" w:csb0="0000019F" w:csb1="00000000"/>
    <w:embedRegular r:id="rId3" w:fontKey="{C2FEA5CA-3657-4CD6-AC21-9B4149A5B566}"/>
  </w:font>
  <w:font w:name="Segoe UI">
    <w:panose1 w:val="020B0502040204020203"/>
    <w:charset w:val="00"/>
    <w:family w:val="swiss"/>
    <w:pitch w:val="variable"/>
    <w:sig w:usb0="E10022FF" w:usb1="C000E47F" w:usb2="00000029" w:usb3="00000000" w:csb0="000001DF" w:csb1="00000000"/>
    <w:embedRegular r:id="rId4" w:fontKey="{93680CA0-C75C-415D-BDF6-0CFAE01832C1}"/>
  </w:font>
  <w:font w:name="Cambria">
    <w:panose1 w:val="02040503050406030204"/>
    <w:charset w:val="00"/>
    <w:family w:val="roman"/>
    <w:pitch w:val="variable"/>
    <w:sig w:usb0="E00002FF" w:usb1="400004FF" w:usb2="00000000" w:usb3="00000000" w:csb0="0000019F" w:csb1="00000000"/>
    <w:embedRegular r:id="rId5" w:fontKey="{1C565D5B-99CC-46C8-8C79-46A1B96F5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DD" w:rsidRPr="0091620F" w:rsidRDefault="0091620F" w:rsidP="0091620F">
    <w:pPr>
      <w:pStyle w:val="Footer"/>
      <w:tabs>
        <w:tab w:val="clear" w:pos="4680"/>
        <w:tab w:val="clear" w:pos="9360"/>
        <w:tab w:val="center" w:pos="2995"/>
      </w:tabs>
      <w:spacing w:before="120"/>
    </w:pPr>
    <w:r>
      <w:t>[3195</w:t>
    </w:r>
    <w:r w:rsidR="00395DDF">
      <w:t>-</w:t>
    </w:r>
    <w:r w:rsidR="00395DDF">
      <w:fldChar w:fldCharType="begin"/>
    </w:r>
    <w:r w:rsidR="00395DDF">
      <w:instrText xml:space="preserve"> PAGE  \* MERGEFORMAT </w:instrText>
    </w:r>
    <w:r w:rsidR="00395DDF">
      <w:fldChar w:fldCharType="separate"/>
    </w:r>
    <w:r w:rsidR="00BC0179">
      <w:rPr>
        <w:noProof/>
      </w:rPr>
      <w:t>1</w:t>
    </w:r>
    <w:r w:rsidR="00395DDF">
      <w:fldChar w:fldCharType="end"/>
    </w:r>
    <w:r w:rsidR="00395D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DDF" w:rsidRPr="0091620F" w:rsidRDefault="00395DDF" w:rsidP="0091620F">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BC01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9F" w:rsidRDefault="00C2479F" w:rsidP="009F0C77">
      <w:r>
        <w:separator/>
      </w:r>
    </w:p>
  </w:footnote>
  <w:footnote w:type="continuationSeparator" w:id="0">
    <w:p w:rsidR="00C2479F" w:rsidRDefault="00C24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7ZW15"/>
    <w:docVar w:name="CoverBillType" w:val="b"/>
    <w:docVar w:name="docpath" w:val="L:\Council\bills\NL\13437ZW15.DOCX"/>
    <w:docVar w:name="dvBillNumber" w:val="3195"/>
    <w:docVar w:name="dvBillNumberPrefix" w:val="H. "/>
    <w:docVar w:name="dvOriginalBody" w:val="House"/>
    <w:docVar w:name="dvSteno" w:val="NL"/>
    <w:docVar w:name="NameofBody" w:val="h"/>
    <w:docVar w:name="vgroup2" w:val="Council"/>
  </w:docVars>
  <w:rsids>
    <w:rsidRoot w:val="004210BD"/>
    <w:rsid w:val="00011869"/>
    <w:rsid w:val="00015CD6"/>
    <w:rsid w:val="00051C20"/>
    <w:rsid w:val="000E1785"/>
    <w:rsid w:val="000F40FA"/>
    <w:rsid w:val="0010637E"/>
    <w:rsid w:val="0010776B"/>
    <w:rsid w:val="00133E66"/>
    <w:rsid w:val="001435A3"/>
    <w:rsid w:val="001816FE"/>
    <w:rsid w:val="001D08F2"/>
    <w:rsid w:val="001D1A5B"/>
    <w:rsid w:val="001D525B"/>
    <w:rsid w:val="001D7F4F"/>
    <w:rsid w:val="0021376B"/>
    <w:rsid w:val="002321B6"/>
    <w:rsid w:val="00250967"/>
    <w:rsid w:val="002543C8"/>
    <w:rsid w:val="00284AAE"/>
    <w:rsid w:val="002E3EDD"/>
    <w:rsid w:val="002E5912"/>
    <w:rsid w:val="00301B21"/>
    <w:rsid w:val="00325348"/>
    <w:rsid w:val="0032732C"/>
    <w:rsid w:val="00336AD0"/>
    <w:rsid w:val="0037079A"/>
    <w:rsid w:val="00395DDF"/>
    <w:rsid w:val="003D01E8"/>
    <w:rsid w:val="003E5288"/>
    <w:rsid w:val="003F6D79"/>
    <w:rsid w:val="0041760A"/>
    <w:rsid w:val="00417C01"/>
    <w:rsid w:val="004210BD"/>
    <w:rsid w:val="004809EE"/>
    <w:rsid w:val="004D1143"/>
    <w:rsid w:val="004E7D54"/>
    <w:rsid w:val="005273C6"/>
    <w:rsid w:val="00530A69"/>
    <w:rsid w:val="00533C23"/>
    <w:rsid w:val="00545593"/>
    <w:rsid w:val="00577C6C"/>
    <w:rsid w:val="005C2FE2"/>
    <w:rsid w:val="005E2BC9"/>
    <w:rsid w:val="00605102"/>
    <w:rsid w:val="006215AA"/>
    <w:rsid w:val="00634FBC"/>
    <w:rsid w:val="006913C9"/>
    <w:rsid w:val="0069470D"/>
    <w:rsid w:val="006B38C0"/>
    <w:rsid w:val="00734F00"/>
    <w:rsid w:val="007A70AE"/>
    <w:rsid w:val="00811E0C"/>
    <w:rsid w:val="008240DE"/>
    <w:rsid w:val="008362E8"/>
    <w:rsid w:val="008A1768"/>
    <w:rsid w:val="008F0093"/>
    <w:rsid w:val="008F0F33"/>
    <w:rsid w:val="008F4429"/>
    <w:rsid w:val="008F54B3"/>
    <w:rsid w:val="0091620F"/>
    <w:rsid w:val="0094021A"/>
    <w:rsid w:val="009647AE"/>
    <w:rsid w:val="009B44AF"/>
    <w:rsid w:val="009C6A0B"/>
    <w:rsid w:val="009F0C77"/>
    <w:rsid w:val="009F4DD1"/>
    <w:rsid w:val="00A41684"/>
    <w:rsid w:val="00A64E80"/>
    <w:rsid w:val="00A66023"/>
    <w:rsid w:val="00A72BCD"/>
    <w:rsid w:val="00A741D9"/>
    <w:rsid w:val="00A833AB"/>
    <w:rsid w:val="00A9741D"/>
    <w:rsid w:val="00AD4B17"/>
    <w:rsid w:val="00AF5E2F"/>
    <w:rsid w:val="00B04A9B"/>
    <w:rsid w:val="00B412D4"/>
    <w:rsid w:val="00BC0179"/>
    <w:rsid w:val="00BE3C22"/>
    <w:rsid w:val="00C0345E"/>
    <w:rsid w:val="00C2479F"/>
    <w:rsid w:val="00C3434A"/>
    <w:rsid w:val="00C3483A"/>
    <w:rsid w:val="00C74E9D"/>
    <w:rsid w:val="00C82FD3"/>
    <w:rsid w:val="00C92819"/>
    <w:rsid w:val="00CC0BA6"/>
    <w:rsid w:val="00CC6B7B"/>
    <w:rsid w:val="00CD2089"/>
    <w:rsid w:val="00D73A67"/>
    <w:rsid w:val="00D970A9"/>
    <w:rsid w:val="00DD1D0B"/>
    <w:rsid w:val="00DF3845"/>
    <w:rsid w:val="00E41911"/>
    <w:rsid w:val="00E670BB"/>
    <w:rsid w:val="00E86004"/>
    <w:rsid w:val="00E92EEF"/>
    <w:rsid w:val="00F24442"/>
    <w:rsid w:val="00F50AE3"/>
    <w:rsid w:val="00F67CF1"/>
    <w:rsid w:val="00F840F0"/>
    <w:rsid w:val="00FA49DF"/>
    <w:rsid w:val="00FB0D0D"/>
    <w:rsid w:val="00FB43B4"/>
    <w:rsid w:val="00FB5A31"/>
    <w:rsid w:val="00FC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7D13C-A8A0-4B11-A3FA-A6CF5A42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1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D0F9E-AFA5-4A1E-8BDD-59F72D135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45559199.dotm</Template>
  <TotalTime>0</TotalTime>
  <Pages>4</Pages>
  <Words>1009</Words>
  <Characters>5337</Characters>
  <Application>Microsoft Office Word</Application>
  <DocSecurity>0</DocSecurity>
  <Lines>145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3195 Text of Previous Version (Feb. 11, 2015) - South Carolina Legislature Online</dc:title>
  <dc:creator>nancylee</dc:creator>
  <cp:lastModifiedBy>Miriam Cook</cp:lastModifiedBy>
  <cp:revision>2</cp:revision>
  <cp:lastPrinted>2014-12-17T22:18:00Z</cp:lastPrinted>
  <dcterms:created xsi:type="dcterms:W3CDTF">2015-02-11T23:58:00Z</dcterms:created>
  <dcterms:modified xsi:type="dcterms:W3CDTF">2015-02-11T23:58:00Z</dcterms:modified>
</cp:coreProperties>
</file>