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039" w:rsidRDefault="000E1039"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E1039" w:rsidRPr="000E1039" w:rsidRDefault="000E1039"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E1039" w:rsidRDefault="000E1039"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38B"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12, 2015</w:t>
      </w: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8FD" w:rsidRPr="00B338FD" w:rsidRDefault="00B338FD" w:rsidP="00B338FD">
      <w:pPr>
        <w:pStyle w:val="BillDots"/>
        <w:tabs>
          <w:tab w:val="clear" w:pos="216"/>
          <w:tab w:val="clear" w:pos="432"/>
          <w:tab w:val="clear" w:pos="648"/>
          <w:tab w:val="clear" w:pos="864"/>
          <w:tab w:val="clear" w:pos="1080"/>
          <w:tab w:val="clear" w:pos="1296"/>
          <w:tab w:val="clear" w:pos="5904"/>
          <w:tab w:val="right" w:pos="5933"/>
        </w:tabs>
      </w:pPr>
      <w:r>
        <w:tab/>
      </w:r>
      <w:r>
        <w:rPr>
          <w:b/>
          <w:sz w:val="36"/>
        </w:rPr>
        <w:t>H. 3325</w:t>
      </w: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Hodges, Weeks, Whipper, Mitchell, Govan and Gilliard</w:t>
      </w: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5/12/15--H.</w:t>
      </w: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15, 2015.</w:t>
      </w:r>
    </w:p>
    <w:p w:rsidR="00B338FD" w:rsidRPr="00B338FD" w:rsidRDefault="00B338FD" w:rsidP="00B338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8FD" w:rsidRDefault="00B338FD"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338FD" w:rsidSect="000933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5CC" w:rsidRDefault="00E355CC"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DF5" w:rsidP="00E82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2FEA">
        <w:rPr>
          <w:color w:val="000000" w:themeColor="text1"/>
          <w:u w:color="000000" w:themeColor="text1"/>
        </w:rPr>
        <w:t xml:space="preserve">TO AMEND THE CODE OF LAWS OF SOUTH CAROLINA, 1976, BY ADDING ARTICLE 3 TO CHAPTER 61, TITLE 15 SO AS TO ENACT THE “UNIFORM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 TO DEFINE NECESSARY TERMS; TO PROVIDE FOR NOTICE BY PUBLICATION IN A PARTITION ACTION</w:t>
      </w:r>
      <w:r w:rsidR="003E3696">
        <w:rPr>
          <w:color w:val="000000" w:themeColor="text1"/>
          <w:u w:color="000000" w:themeColor="text1"/>
        </w:rPr>
        <w:t>,</w:t>
      </w:r>
      <w:r w:rsidRPr="00C42FEA">
        <w:rPr>
          <w:color w:val="000000" w:themeColor="text1"/>
          <w:u w:color="000000" w:themeColor="text1"/>
        </w:rPr>
        <w:t xml:space="preserve"> TO PROVIDE PROCEDURES FOR A COURT TO FOLLOW IN DETERMINING THE VALUE OF THE PROPERTY AND FACTORS FOR A COURT TO CONSIDER FOR DIFFERENT TYPES OF PARTITIONS</w:t>
      </w:r>
      <w:r w:rsidR="003E3696">
        <w:rPr>
          <w:color w:val="000000" w:themeColor="text1"/>
          <w:u w:color="000000" w:themeColor="text1"/>
        </w:rPr>
        <w:t>,</w:t>
      </w:r>
      <w:r w:rsidRPr="00C42FEA">
        <w:rPr>
          <w:color w:val="000000" w:themeColor="text1"/>
          <w:u w:color="000000" w:themeColor="text1"/>
        </w:rPr>
        <w:t xml:space="preserve"> TO PROVIDE FOR OPEN</w:t>
      </w:r>
      <w:r w:rsidR="00C07E6E">
        <w:rPr>
          <w:color w:val="000000" w:themeColor="text1"/>
          <w:u w:color="000000" w:themeColor="text1"/>
        </w:rPr>
        <w:noBreakHyphen/>
      </w:r>
      <w:r w:rsidRPr="00C42FEA">
        <w:rPr>
          <w:color w:val="000000" w:themeColor="text1"/>
          <w:u w:color="000000" w:themeColor="text1"/>
        </w:rPr>
        <w:t>MARKET SALES, SEALED BIDS, OR AUCTIONS</w:t>
      </w:r>
      <w:r w:rsidR="003E3696">
        <w:rPr>
          <w:color w:val="000000" w:themeColor="text1"/>
          <w:u w:color="000000" w:themeColor="text1"/>
        </w:rPr>
        <w:t>,</w:t>
      </w:r>
      <w:r w:rsidRPr="00C42FEA">
        <w:rPr>
          <w:color w:val="000000" w:themeColor="text1"/>
          <w:u w:color="000000" w:themeColor="text1"/>
        </w:rPr>
        <w:t xml:space="preserve"> TO DESIGNATE THE EXISTING PROVISIONS OF CHAPTER 61 AS ARTICLE 1;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10, RELATING TO PARTITION ACTIONS, SO AS TO PROVIDE FOR A COURT HEARING TO DETERMINE IF THE PARTITION ACTION CONCERNS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AND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RELATING TO WRITS OF PARTITION, SO AS TO DELETE OBSOLETE REFERENCES.</w:t>
      </w:r>
      <w:bookmarkEnd w:id="1"/>
    </w:p>
    <w:p w:rsidR="0010776B" w:rsidRDefault="00B33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338FD" w:rsidRDefault="00B33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SECTION</w:t>
      </w:r>
      <w:r w:rsidRPr="00F9140F">
        <w:rPr>
          <w:u w:color="000000" w:themeColor="text1"/>
        </w:rPr>
        <w:tab/>
        <w:t>1.</w:t>
      </w:r>
      <w:r w:rsidRPr="00F9140F">
        <w:rPr>
          <w:u w:color="000000" w:themeColor="text1"/>
        </w:rPr>
        <w:tab/>
        <w:t>Chapter 61, Title 15 of the 1976 Code is amended by adding: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9140F">
        <w:rPr>
          <w:u w:color="000000" w:themeColor="text1"/>
        </w:rPr>
        <w:t>“Article 3</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9140F">
        <w:rPr>
          <w:u w:color="000000" w:themeColor="text1"/>
        </w:rPr>
        <w:t>Uniform Partition of Heirs’ Property Act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310.</w:t>
      </w:r>
      <w:r w:rsidRPr="00F9140F">
        <w:rPr>
          <w:u w:color="000000" w:themeColor="text1"/>
        </w:rPr>
        <w:tab/>
        <w:t>This article may be cited as the ‘Uniform Partition of Heirs’ Property Act’.</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320.</w:t>
      </w:r>
      <w:r w:rsidRPr="00F9140F">
        <w:rPr>
          <w:u w:color="000000" w:themeColor="text1"/>
        </w:rPr>
        <w:tab/>
        <w:t>As used in this article: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w:t>
      </w:r>
      <w:r w:rsidRPr="00F9140F">
        <w:rPr>
          <w:u w:color="000000" w:themeColor="text1"/>
        </w:rPr>
        <w:tab/>
        <w:t>‘Ascendant’ means an individual who precedes another individual in lineage, in the direct line of ascent from the other individual.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(2)</w:t>
      </w:r>
      <w:r w:rsidRPr="00F9140F">
        <w:rPr>
          <w:u w:color="000000" w:themeColor="text1"/>
        </w:rPr>
        <w:tab/>
        <w:t>‘Collateral’ means an individual who is related to another individual under the law of intestate succession of this State, but who is not the other individual’s ascendant or descendant.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(3)</w:t>
      </w:r>
      <w:r w:rsidRPr="00F9140F">
        <w:rPr>
          <w:u w:color="000000" w:themeColor="text1"/>
        </w:rPr>
        <w:tab/>
        <w:t>‘Descendant’ means an individual who follows another individual in lineage, in the direct line of descent from the other individual.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(4)</w:t>
      </w:r>
      <w:r w:rsidRPr="00F9140F">
        <w:rPr>
          <w:u w:color="000000" w:themeColor="text1"/>
        </w:rPr>
        <w:tab/>
        <w:t>‘Determination of value’ means a court order determining the fair market value of heirs’ property under Section 15</w:t>
      </w:r>
      <w:r w:rsidRPr="00F9140F">
        <w:rPr>
          <w:u w:color="000000" w:themeColor="text1"/>
        </w:rPr>
        <w:noBreakHyphen/>
        <w:t>61</w:t>
      </w:r>
      <w:r w:rsidRPr="00F9140F">
        <w:rPr>
          <w:u w:color="000000" w:themeColor="text1"/>
        </w:rPr>
        <w:noBreakHyphen/>
        <w:t>360 or Section 15</w:t>
      </w:r>
      <w:r w:rsidRPr="00F9140F">
        <w:rPr>
          <w:u w:color="000000" w:themeColor="text1"/>
        </w:rPr>
        <w:noBreakHyphen/>
        <w:t>61</w:t>
      </w:r>
      <w:r w:rsidRPr="00F9140F">
        <w:rPr>
          <w:u w:color="000000" w:themeColor="text1"/>
        </w:rPr>
        <w:noBreakHyphen/>
        <w:t>400 or adopting the valuation of the property agreed to by all cotenants.</w:t>
      </w:r>
      <w:r w:rsidRPr="00F9140F">
        <w:rPr>
          <w:u w:color="000000" w:themeColor="text1"/>
        </w:rPr>
        <w:tab/>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(5)</w:t>
      </w:r>
      <w:r w:rsidRPr="00F9140F">
        <w:rPr>
          <w:u w:color="000000" w:themeColor="text1"/>
        </w:rPr>
        <w:tab/>
        <w:t>‘Heirs’ property’ means real property held in tenancy in common that satisfies all of the following requirements as of the filing of a partition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(a)</w:t>
      </w:r>
      <w:r w:rsidRPr="00F9140F">
        <w:rPr>
          <w:u w:color="000000" w:themeColor="text1"/>
        </w:rPr>
        <w:tab/>
        <w:t>there is no agreement in a record binding all of the cotenants that governs the partition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(b)</w:t>
      </w:r>
      <w:r w:rsidRPr="00F9140F">
        <w:rPr>
          <w:u w:color="000000" w:themeColor="text1"/>
        </w:rPr>
        <w:tab/>
        <w:t>one or more of the cotenants acquired title from a relative, whether living or deceased;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(c)</w:t>
      </w:r>
      <w:r w:rsidRPr="00F9140F">
        <w:rPr>
          <w:u w:color="000000" w:themeColor="text1"/>
        </w:rPr>
        <w:tab/>
        <w:t>any of the following applies: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sidRPr="00F9140F">
        <w:rPr>
          <w:u w:color="000000" w:themeColor="text1"/>
        </w:rPr>
        <w:tab/>
        <w:t>twenty percent or more of the interests are held by cotenants who are relatives;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r>
      <w:r w:rsidRPr="00F9140F">
        <w:rPr>
          <w:u w:color="000000" w:themeColor="text1"/>
        </w:rPr>
        <w:tab/>
        <w:t>(ii)</w:t>
      </w:r>
      <w:r w:rsidRPr="00F9140F">
        <w:rPr>
          <w:u w:color="000000" w:themeColor="text1"/>
        </w:rPr>
        <w:tab/>
        <w:t>twenty percent or more of the interests are held by an individual who acquired title from a relative, whether living or deceased; or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r>
      <w:r w:rsidRPr="00F9140F">
        <w:rPr>
          <w:u w:color="000000" w:themeColor="text1"/>
        </w:rPr>
        <w:tab/>
        <w:t>(iii)</w:t>
      </w:r>
      <w:r w:rsidRPr="00F9140F">
        <w:rPr>
          <w:u w:color="000000" w:themeColor="text1"/>
        </w:rPr>
        <w:tab/>
        <w:t>twenty percent or more of the cotenants are relatives.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(6)</w:t>
      </w:r>
      <w:r w:rsidRPr="00F9140F">
        <w:rPr>
          <w:u w:color="000000" w:themeColor="text1"/>
        </w:rPr>
        <w:tab/>
        <w:t>‘Manifest prejudice’ means a result that is obviously unfair or shocking to the conscience and is direct, obvious, and observable when considering the factors under Section 15</w:t>
      </w:r>
      <w:r w:rsidRPr="00F9140F">
        <w:rPr>
          <w:u w:color="000000" w:themeColor="text1"/>
        </w:rPr>
        <w:noBreakHyphen/>
        <w:t>61</w:t>
      </w:r>
      <w:r w:rsidRPr="00F9140F">
        <w:rPr>
          <w:u w:color="000000" w:themeColor="text1"/>
        </w:rPr>
        <w:noBreakHyphen/>
        <w:t>390(A).</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(7)</w:t>
      </w:r>
      <w:r w:rsidRPr="00F9140F">
        <w:rPr>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adjustments being made for payment to compensate other cotenants for the value of their respective interests in the heirs’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(8)</w:t>
      </w:r>
      <w:r w:rsidRPr="00F9140F">
        <w:rPr>
          <w:u w:color="000000" w:themeColor="text1"/>
        </w:rPr>
        <w:tab/>
        <w:t>‘Partition by sale’ means a court ordered sale of the entire heirs’ property, whether by auction, sealed bids, or open market sale, conducted under Section 15</w:t>
      </w:r>
      <w:r w:rsidRPr="00F9140F">
        <w:rPr>
          <w:u w:color="000000" w:themeColor="text1"/>
        </w:rPr>
        <w:noBreakHyphen/>
        <w:t>61</w:t>
      </w:r>
      <w:r w:rsidRPr="00F9140F">
        <w:rPr>
          <w:u w:color="000000" w:themeColor="text1"/>
        </w:rPr>
        <w:noBreakHyphen/>
        <w:t>400.</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(9)</w:t>
      </w:r>
      <w:r w:rsidRPr="00F9140F">
        <w:rPr>
          <w:u w:color="000000" w:themeColor="text1"/>
        </w:rPr>
        <w:tab/>
        <w:t>‘Partition in kind’ means the division of heirs’ property into physically distinct and separately titled parcels.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(10)</w:t>
      </w:r>
      <w:r w:rsidRPr="00F9140F">
        <w:rPr>
          <w:u w:color="000000" w:themeColor="text1"/>
        </w:rPr>
        <w:tab/>
        <w:t>‘Record’ means information that is inscribed on a tangible medium or that is stored in an electronic or other medium and is retrievable in perceivable form.</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(11)</w:t>
      </w:r>
      <w:r w:rsidRPr="00F9140F">
        <w:rPr>
          <w:u w:color="000000" w:themeColor="text1"/>
        </w:rPr>
        <w:tab/>
        <w:t>‘Relative’ means an ascendant, descendant, or collateral, or an individual otherwise related to another individual by blood, marriage, adoption, or law of this State other than this article, and for purposes of this article, who owned or owns an interest in the heirs’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(12)</w:t>
      </w:r>
      <w:r w:rsidRPr="00F9140F">
        <w:rPr>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are excluded in the computation.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330.</w:t>
      </w:r>
      <w:r w:rsidRPr="00F9140F">
        <w:rPr>
          <w:u w:color="000000" w:themeColor="text1"/>
        </w:rPr>
        <w:tab/>
        <w:t>(A)</w:t>
      </w:r>
      <w:r w:rsidRPr="00F9140F">
        <w:rPr>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this article, unless all cotenants otherwise agree in a record.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This article supplements the provisions of Article 1 and if the provisions of this article differ from the provisions of Article 1, the provisions of this article control.</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340.</w:t>
      </w:r>
      <w:r w:rsidRPr="00F9140F">
        <w:rPr>
          <w:u w:color="000000" w:themeColor="text1"/>
        </w:rPr>
        <w:tab/>
        <w:t>(A)</w:t>
      </w:r>
      <w:r w:rsidRPr="00F9140F">
        <w:rPr>
          <w:u w:color="000000" w:themeColor="text1"/>
        </w:rPr>
        <w:tab/>
        <w:t>This article does not limit or affect the method by which service of pleading in a partition action may be made.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plaintiff in a partition action seeks notice by publication and the court determines, pursuant to Section 15</w:t>
      </w:r>
      <w:r w:rsidRPr="00F9140F">
        <w:rPr>
          <w:u w:color="000000" w:themeColor="text1"/>
        </w:rPr>
        <w:noBreakHyphen/>
        <w:t>61</w:t>
      </w:r>
      <w:r w:rsidRPr="00F9140F">
        <w:rPr>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350.</w:t>
      </w:r>
      <w:r w:rsidRPr="00F9140F">
        <w:rPr>
          <w:u w:color="000000" w:themeColor="text1"/>
        </w:rPr>
        <w:tab/>
        <w:t>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360.</w:t>
      </w:r>
      <w:r w:rsidRPr="00F9140F">
        <w:rPr>
          <w:u w:color="000000" w:themeColor="text1"/>
        </w:rPr>
        <w:tab/>
        <w:t>(A)</w:t>
      </w:r>
      <w:r>
        <w:rPr>
          <w:u w:color="000000" w:themeColor="text1"/>
        </w:rPr>
        <w:tab/>
      </w:r>
      <w:r w:rsidRPr="00F9140F">
        <w:rPr>
          <w:u w:color="000000" w:themeColor="text1"/>
        </w:rPr>
        <w:t>Except as otherwise provided in subsections (B) and (C), if a court determines that property that is the subject of a partition action is heirs’ property, the court shall determine the fair market value of the property by ordering an appraisal pursuant to subsection (D).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all cotenants have agreed to the value of the property or to another method of valuation, the court shall adopt that value or the value produced by the agreed method of valuation.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the court determines that the evidentiary value of an appraisal is outweighed by the cost of the appraisal, the court, after an evidentiary hearing, shall establish by order the fair market value of the property. The Clerk of Court shall send notice of the order to all parties not in default. Within one week from the date notice was sent, the party that filed the partition action shall send a copy of the order establishing the fair market value of the property to all other cotenants with a known address.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If a court orders an appraisal, the court shall appoint a disinterested real estate appraiser licensed in this State to determine the fair market value of the property assuming sole ownership of the fee simple estate. On appointment of the appraiser, the court shall order the appraiser to file a sworn or verified appraisal with the court upon its completion and send notice of its filing to all parties not in default stating: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appraised fair market value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that the appraisal is available at the clerk’s office;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 xml:space="preserve">that a party may file with the court an objection to the appraisal no later than thirty days after the notice is sent, stating the grounds for the objection.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 xml:space="preserve">The court, in its discretion, shall determine allocation of payment from the parties to cover the costs of the appraisal.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If an appraisal is filed pursuant to subsection (D), within one week from the date the notice was sent, the party that filed the partition action shall send notice to all other cotenants with a known address, stating: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appraised fair market value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that the appraisal is available at the clerk’s office;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that a party may file with the court an objection to the appraisal no later than thirty days after the notice is sent stating the grounds for the objection.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(G)</w:t>
      </w:r>
      <w:r w:rsidRPr="00F9140F">
        <w:rPr>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subsections (D) and (F), whether or not an objection to the appraisal is filed. In addition to the court</w:t>
      </w:r>
      <w:r w:rsidRPr="00F9140F">
        <w:rPr>
          <w:u w:color="000000" w:themeColor="text1"/>
        </w:rPr>
        <w:noBreakHyphen/>
        <w:t>ordered appraisal, the court may consider any other evidence of value offered by a party.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(H)</w:t>
      </w:r>
      <w:r w:rsidRPr="00F9140F">
        <w:rPr>
          <w:u w:color="000000" w:themeColor="text1"/>
        </w:rPr>
        <w:tab/>
        <w:t>After a hearing under subsection (G), but before considering the merits of the partition action, the court, by order, shall determine the fair market value of the property. The Clerk of Court shall send notice of the order to all parties not in default and, within one week from the date notice was sent, the party filing the partition action shall send copies of the fair market value order to all other cotenants with a known address.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370.</w:t>
      </w:r>
      <w:r w:rsidRPr="00F9140F">
        <w:rPr>
          <w:u w:color="000000" w:themeColor="text1"/>
        </w:rPr>
        <w:tab/>
        <w:t>(A)</w:t>
      </w:r>
      <w:r w:rsidRPr="00F9140F">
        <w:rPr>
          <w:u w:color="000000" w:themeColor="text1"/>
        </w:rPr>
        <w:tab/>
        <w:t>If any cotenant requests partition by sale, after the determination of value pursuant to Section 15</w:t>
      </w:r>
      <w:r w:rsidRPr="00F9140F">
        <w:rPr>
          <w:u w:color="000000" w:themeColor="text1"/>
        </w:rPr>
        <w:noBreakHyphen/>
        <w:t>61</w:t>
      </w:r>
      <w:r w:rsidRPr="00F9140F">
        <w:rPr>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must be allowed to purchase the interests of any cotenant who requested a partition by sale, as provided in this article, whether default has been entered against the cotenant or not.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The purchase price for each of the interests of a cotenant that requested partition by sale is the value of the entire parcel determined pursuant to Section 15</w:t>
      </w:r>
      <w:r w:rsidRPr="00F9140F">
        <w:rPr>
          <w:u w:color="000000" w:themeColor="text1"/>
        </w:rPr>
        <w:noBreakHyphen/>
        <w:t>61</w:t>
      </w:r>
      <w:r w:rsidRPr="00F9140F">
        <w:rPr>
          <w:u w:color="000000" w:themeColor="text1"/>
        </w:rPr>
        <w:noBreakHyphen/>
        <w:t>360 multiplied by the cotenant’s fractional ownership of the entire parcel.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After the expiration of the period in subsection (B), the following requirements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If only one cotenant elects to buy all the interests of the cotenants that requested partition by sale, the court shall order the Clerk of Court to notify the party filing partition of that fact. After receiving notice from the Clerk of Court, the party filing the partition action shall notify all the parties of that same fact.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cotenant’s existing fractional ownership of the entire parcel divided by the total existing fractional ownership of all cotenants electing to buy. The Clerk of Court shall send notice of the order to all parties not in default and, within one week from the date notice was sent, the party filing the partition action shall send a copy of the order showing the price to be paid by each electing cotenant to all other cotenants with a known address.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pursuant to Section 15</w:t>
      </w:r>
      <w:r w:rsidRPr="00F9140F">
        <w:rPr>
          <w:u w:color="000000" w:themeColor="text1"/>
        </w:rPr>
        <w:noBreakHyphen/>
        <w:t>61</w:t>
      </w:r>
      <w:r w:rsidRPr="00F9140F">
        <w:rPr>
          <w:u w:color="000000" w:themeColor="text1"/>
        </w:rPr>
        <w:noBreakHyphen/>
        <w:t>380(A) and (B).</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 xml:space="preserve">If all electing cotenants timely pay their apportioned price into court, the court shall issue an order reallocating all the interests of the cotenants and disburse the amounts held by the court to the persons entitled to them.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no electing cotenant timely pays its apportioned price, the court shall resolve the partition action pursuant to Section 15</w:t>
      </w:r>
      <w:r w:rsidRPr="00F9140F">
        <w:rPr>
          <w:u w:color="000000" w:themeColor="text1"/>
        </w:rPr>
        <w:noBreakHyphen/>
        <w:t>61</w:t>
      </w:r>
      <w:r w:rsidRPr="00F9140F">
        <w:rPr>
          <w:u w:color="000000" w:themeColor="text1"/>
        </w:rPr>
        <w:noBreakHyphen/>
        <w:t>380 (A) and (B), as if the interests of the cotenants that requested partition by sale were not purchased.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F9140F">
        <w:rPr>
          <w:u w:color="000000" w:themeColor="text1"/>
        </w:rPr>
        <w:noBreakHyphen/>
        <w:t>day period, the following regulations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 xml:space="preserve">If only one cotenant pays the entire price for the remaining interests, the court shall issue an order reallocating the remaining interests to that cotenant and disburse the amounts held by it to the persons entitled to them.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no cotenant pays the entire price for the remaining interests, the court shall resolve the partition action pursuant to Section 15</w:t>
      </w:r>
      <w:r w:rsidRPr="00F9140F">
        <w:rPr>
          <w:u w:color="000000" w:themeColor="text1"/>
        </w:rPr>
        <w:noBreakHyphen/>
        <w:t>61</w:t>
      </w:r>
      <w:r w:rsidRPr="00F9140F">
        <w:rPr>
          <w:u w:color="000000" w:themeColor="text1"/>
        </w:rPr>
        <w:noBreakHyphen/>
        <w:t>380(A) and (B), as if the interests of the cotenants that requested partition by sale were not purchased.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court.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(G)</w:t>
      </w:r>
      <w:r w:rsidRPr="00F9140F">
        <w:rPr>
          <w:u w:color="000000" w:themeColor="text1"/>
        </w:rPr>
        <w:tab/>
        <w:t>Not later than forty days after the party filing the partition action sends notice to the parties pursuant to subsection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(H)</w:t>
      </w:r>
      <w:r w:rsidRPr="00F9140F">
        <w:rPr>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purchase price for the interest of a nonappearing cotenant is based on the court’s determination of value pursuant to Section 15</w:t>
      </w:r>
      <w:r w:rsidRPr="00F9140F">
        <w:rPr>
          <w:u w:color="000000" w:themeColor="text1"/>
        </w:rPr>
        <w:noBreakHyphen/>
        <w:t>61</w:t>
      </w:r>
      <w:r w:rsidRPr="00F9140F">
        <w:rPr>
          <w:u w:color="000000" w:themeColor="text1"/>
        </w:rPr>
        <w:noBreakHyphen/>
        <w:t>360.</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380.</w:t>
      </w:r>
      <w:r w:rsidRPr="00F9140F">
        <w:rPr>
          <w:u w:color="000000" w:themeColor="text1"/>
        </w:rPr>
        <w:tab/>
        <w:t>(A)</w:t>
      </w:r>
      <w:r w:rsidRPr="00F9140F">
        <w:rPr>
          <w:u w:color="000000" w:themeColor="text1"/>
        </w:rPr>
        <w:tab/>
        <w:t>If all the interests of the cotenants that requested partition by sale are not purchased by other cotenants pursuant to Section 15</w:t>
      </w:r>
      <w:r w:rsidRPr="00F9140F">
        <w:rPr>
          <w:u w:color="000000" w:themeColor="text1"/>
        </w:rPr>
        <w:noBreakHyphen/>
        <w:t>61</w:t>
      </w:r>
      <w:r w:rsidRPr="00F9140F">
        <w:rPr>
          <w:u w:color="000000" w:themeColor="text1"/>
        </w:rPr>
        <w:noBreakHyphen/>
        <w:t>370 or if, after conclusion of the buyout pursuant to Section 15</w:t>
      </w:r>
      <w:r w:rsidRPr="00F9140F">
        <w:rPr>
          <w:u w:color="000000" w:themeColor="text1"/>
        </w:rPr>
        <w:noBreakHyphen/>
        <w:t>61</w:t>
      </w:r>
      <w:r w:rsidRPr="00F9140F">
        <w:rPr>
          <w:u w:color="000000" w:themeColor="text1"/>
        </w:rPr>
        <w:noBreakHyphen/>
        <w:t>370 a cotenant remains that has requested a partition in kind or a partition by allotment, the court shall order a partition in kind or a partition by allotment, unless the court, after consideration of the factors listed in Section 15</w:t>
      </w:r>
      <w:r w:rsidRPr="00F9140F">
        <w:rPr>
          <w:u w:color="000000" w:themeColor="text1"/>
        </w:rPr>
        <w:noBreakHyphen/>
        <w:t>61</w:t>
      </w:r>
      <w:r w:rsidRPr="00F9140F">
        <w:rPr>
          <w:u w:color="000000" w:themeColor="text1"/>
        </w:rPr>
        <w:noBreakHyphen/>
        <w:t>390, finds that partition in kind or partition by allotment may result in manifest prejudice to the cotenants as a group. In considering whether to order partition in kind or partition by allotment, the court shall approve a request by two or more parties to have their individual interests aggregated.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court does not order partition in kind or partition by allotment under subsection (A), the court shall order partition by sale pursuant to Section 15</w:t>
      </w:r>
      <w:r w:rsidRPr="00F9140F">
        <w:rPr>
          <w:u w:color="000000" w:themeColor="text1"/>
        </w:rPr>
        <w:noBreakHyphen/>
        <w:t>61</w:t>
      </w:r>
      <w:r w:rsidRPr="00F9140F">
        <w:rPr>
          <w:u w:color="000000" w:themeColor="text1"/>
        </w:rPr>
        <w:noBreakHyphen/>
        <w:t>400 or, if no cotenant requested partition by sale, the court shall dismiss the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F9140F">
        <w:rPr>
          <w:u w:color="000000" w:themeColor="text1"/>
        </w:rPr>
        <w:noBreakHyphen/>
        <w:t xml:space="preserve">kind distributions to the cotenants, will make the partition in kind or the partition by allotment just and proportionate in value to the fractional interests held. </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390.</w:t>
      </w:r>
      <w:r w:rsidRPr="00F9140F">
        <w:rPr>
          <w:u w:color="000000" w:themeColor="text1"/>
        </w:rPr>
        <w:tab/>
        <w:t>(A)</w:t>
      </w:r>
      <w:r w:rsidRPr="00F9140F">
        <w:rPr>
          <w:u w:color="000000" w:themeColor="text1"/>
        </w:rPr>
        <w:tab/>
        <w:t>In determining pursuant to Section 15</w:t>
      </w:r>
      <w:r w:rsidRPr="00F9140F">
        <w:rPr>
          <w:u w:color="000000" w:themeColor="text1"/>
        </w:rPr>
        <w:noBreakHyphen/>
        <w:t>61</w:t>
      </w:r>
      <w:r w:rsidRPr="00F9140F">
        <w:rPr>
          <w:u w:color="000000" w:themeColor="text1"/>
        </w:rPr>
        <w:noBreakHyphen/>
        <w:t>380(A) whether partition in kind or partition by allotment would result in manifest prejudice to the cotenants as a group, the court shall consider the following: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whether the heirs’ property practicably can be divided among the cotenants;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F9140F">
        <w:rPr>
          <w:u w:color="000000" w:themeColor="text1"/>
        </w:rPr>
        <w:noBreakHyphen/>
        <w:t>ordered sale likely would occur;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(4)</w:t>
      </w:r>
      <w:r w:rsidRPr="00F9140F">
        <w:rPr>
          <w:u w:color="000000" w:themeColor="text1"/>
        </w:rPr>
        <w:tab/>
        <w:t>a cotenant’s sentimental attachment to the property, including any attachment arising because the property has ancestral or other unique or special value to the cotenant;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(5)</w:t>
      </w:r>
      <w:r w:rsidRPr="00F9140F">
        <w:rPr>
          <w:u w:color="000000" w:themeColor="text1"/>
        </w:rPr>
        <w:tab/>
        <w:t>the lawful use being made of the property by a cotenant and the degree to which the cotenant would be harmed if the cotenant could not continue the same use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(6)</w:t>
      </w:r>
      <w:r w:rsidRPr="00F9140F">
        <w:rPr>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(7)</w:t>
      </w:r>
      <w:r w:rsidRPr="00F9140F">
        <w:rPr>
          <w:u w:color="000000" w:themeColor="text1"/>
        </w:rPr>
        <w:tab/>
        <w:t>any other relevant factor.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The court may not consider any one factor in subsection (A) to be dispositive without weighing the totality of all relevant factors and circumstances.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400.</w:t>
      </w:r>
      <w:r w:rsidRPr="00F9140F">
        <w:rPr>
          <w:u w:color="000000" w:themeColor="text1"/>
        </w:rPr>
        <w:tab/>
        <w:t>(A)</w:t>
      </w:r>
      <w:r w:rsidRPr="00F9140F">
        <w:rPr>
          <w:u w:color="000000" w:themeColor="text1"/>
        </w:rPr>
        <w:tab/>
        <w:t>If the court orders a sale of heirs’ property, the sale must be an open</w:t>
      </w:r>
      <w:r w:rsidRPr="00F9140F">
        <w:rPr>
          <w:u w:color="000000" w:themeColor="text1"/>
        </w:rPr>
        <w:noBreakHyphen/>
        <w:t>market sale unless the court finds that a sale by sealed bids or an auction would be more economically advantageous and in the best interest of the cotenants as a group.</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court orders an open</w:t>
      </w:r>
      <w:r w:rsidRPr="00F9140F">
        <w:rPr>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the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a broker appointed under subsection (B) obtains within a reasonable time an offer to purchase the property for at least the determination of value: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broker shall comply with the reporting requirements in Section 15</w:t>
      </w:r>
      <w:r w:rsidRPr="00F9140F">
        <w:rPr>
          <w:u w:color="000000" w:themeColor="text1"/>
        </w:rPr>
        <w:noBreakHyphen/>
        <w:t>61</w:t>
      </w:r>
      <w:r w:rsidRPr="00F9140F">
        <w:rPr>
          <w:u w:color="000000" w:themeColor="text1"/>
        </w:rPr>
        <w:noBreakHyphen/>
        <w:t xml:space="preserve">410;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sale may be completed in accordance with state law other than this article;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the commission of the real estate broker must be paid from the proceeds of the sale.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If the broker appointed under subsection (B) does not obtain within a reasonable time an offer to purchase the property for at least the determination of value, the court, after a hearing, may: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approve the highest outstanding offer, if any;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 xml:space="preserve">redetermine the value of the property and order that the property continue to be offered for an additional time; or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order that the property be sold by sealed bids or at an auction.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If a purchaser is entitled to a share of the proceeds of the sale, the purchaser is entitled to a credit against the price in an amount equal to the purchaser’s share of the proceeds.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410.</w:t>
      </w:r>
      <w:r w:rsidRPr="00F9140F">
        <w:rPr>
          <w:u w:color="000000" w:themeColor="text1"/>
        </w:rPr>
        <w:tab/>
        <w:t>(A)</w:t>
      </w:r>
      <w:r w:rsidRPr="00F9140F">
        <w:rPr>
          <w:u w:color="000000" w:themeColor="text1"/>
        </w:rPr>
        <w:tab/>
        <w:t>Unless required otherwise to do so within a shorter time, a broker appointed under Section 15</w:t>
      </w:r>
      <w:r w:rsidRPr="00F9140F">
        <w:rPr>
          <w:u w:color="000000" w:themeColor="text1"/>
        </w:rPr>
        <w:noBreakHyphen/>
        <w:t>61</w:t>
      </w:r>
      <w:r w:rsidRPr="00F9140F">
        <w:rPr>
          <w:u w:color="000000" w:themeColor="text1"/>
        </w:rPr>
        <w:noBreakHyphen/>
        <w:t>400 to offer heirs’ property for open</w:t>
      </w:r>
      <w:r w:rsidRPr="00F9140F">
        <w:rPr>
          <w:u w:color="000000" w:themeColor="text1"/>
        </w:rPr>
        <w:noBreakHyphen/>
        <w:t>market sale shall file a report with the court not later than ten days after receiving an offer to purchase the property for at least the value determined pursuant to Section 15</w:t>
      </w:r>
      <w:r w:rsidRPr="00F9140F">
        <w:rPr>
          <w:u w:color="000000" w:themeColor="text1"/>
        </w:rPr>
        <w:noBreakHyphen/>
        <w:t>61</w:t>
      </w:r>
      <w:r w:rsidRPr="00F9140F">
        <w:rPr>
          <w:u w:color="000000" w:themeColor="text1"/>
        </w:rPr>
        <w:noBreakHyphen/>
        <w:t>360 or 15</w:t>
      </w:r>
      <w:r w:rsidRPr="00F9140F">
        <w:rPr>
          <w:u w:color="000000" w:themeColor="text1"/>
        </w:rPr>
        <w:noBreakHyphen/>
        <w:t>61</w:t>
      </w:r>
      <w:r w:rsidRPr="00F9140F">
        <w:rPr>
          <w:u w:color="000000" w:themeColor="text1"/>
        </w:rPr>
        <w:noBreakHyphen/>
        <w:t>400.</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The report required by subsection (A) must contain the following information: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 description of the property to be sold to each buyer;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name of each buyer;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the proposed purchase price;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(4)</w:t>
      </w:r>
      <w:r w:rsidRPr="00F9140F">
        <w:rPr>
          <w:u w:color="000000" w:themeColor="text1"/>
        </w:rPr>
        <w:tab/>
        <w:t>the terms and conditions of the proposed sale, including the terms of any owner financing;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(5)</w:t>
      </w:r>
      <w:r w:rsidRPr="00F9140F">
        <w:rPr>
          <w:u w:color="000000" w:themeColor="text1"/>
        </w:rPr>
        <w:tab/>
        <w:t>the amounts to be paid to lienholders;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(6)</w:t>
      </w:r>
      <w:r w:rsidRPr="00F9140F">
        <w:rPr>
          <w:u w:color="000000" w:themeColor="text1"/>
        </w:rPr>
        <w:tab/>
        <w:t>a statement of contractual or other arrangements or conditions of the broker’s commission;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(7)</w:t>
      </w:r>
      <w:r w:rsidRPr="00F9140F">
        <w:rPr>
          <w:u w:color="000000" w:themeColor="text1"/>
        </w:rPr>
        <w:tab/>
        <w:t>other material facts relevant to the sale.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3DA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420.</w:t>
      </w:r>
      <w:r w:rsidRPr="00F9140F">
        <w:rPr>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2.</w:t>
      </w:r>
      <w:r w:rsidRPr="00C42FEA">
        <w:rPr>
          <w:color w:val="000000" w:themeColor="text1"/>
          <w:u w:color="000000" w:themeColor="text1"/>
        </w:rPr>
        <w:tab/>
        <w:t>Sections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 through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110 are designated as Article 1, Chapter 61, Title 15 to be entitled “General Provisions”.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3.</w:t>
      </w: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 of the 1976 Code is amended to read:</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w:t>
      </w:r>
      <w:r w:rsidRPr="00C42FEA">
        <w:rPr>
          <w:color w:val="000000" w:themeColor="text1"/>
          <w:u w:color="000000" w:themeColor="text1"/>
        </w:rPr>
        <w:tab/>
      </w:r>
      <w:r w:rsidRPr="00C42FEA">
        <w:rPr>
          <w:color w:val="000000" w:themeColor="text1"/>
          <w:u w:val="single" w:color="000000" w:themeColor="text1"/>
        </w:rPr>
        <w:t>(A)</w:t>
      </w:r>
      <w:r w:rsidRPr="00C42FEA">
        <w:rPr>
          <w:color w:val="000000" w:themeColor="text1"/>
          <w:u w:color="000000" w:themeColor="text1"/>
        </w:rPr>
        <w:tab/>
        <w:t>All joint tenants and tenants in common who hold, jointly or in common, for a term of life in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val="single" w:color="000000" w:themeColor="text1"/>
        </w:rPr>
        <w:t>(B)</w:t>
      </w:r>
      <w:r w:rsidRPr="00C42FEA">
        <w:rPr>
          <w:color w:val="000000" w:themeColor="text1"/>
          <w:u w:color="000000" w:themeColor="text1"/>
        </w:rPr>
        <w:tab/>
      </w:r>
      <w:r w:rsidRPr="00C42FEA">
        <w:rPr>
          <w:color w:val="000000" w:themeColor="text1"/>
          <w:u w:val="single" w:color="000000" w:themeColor="text1"/>
        </w:rPr>
        <w:t xml:space="preserve">In an action to partition real property, upon motion of a party or from statements contained in the pleadings, a court shall determine, in a preliminary hearing held after the filing of the action, whether the property is </w:t>
      </w:r>
      <w:r>
        <w:rPr>
          <w:color w:val="000000" w:themeColor="text1"/>
          <w:u w:val="single" w:color="000000" w:themeColor="text1"/>
        </w:rPr>
        <w:t>heirs</w:t>
      </w:r>
      <w:r w:rsidRPr="00C07E6E">
        <w:rPr>
          <w:color w:val="000000" w:themeColor="text1"/>
          <w:u w:val="single" w:color="000000" w:themeColor="text1"/>
        </w:rPr>
        <w:t>’</w:t>
      </w:r>
      <w:r w:rsidRPr="00C42FEA">
        <w:rPr>
          <w:color w:val="000000" w:themeColor="text1"/>
          <w:u w:val="single" w:color="000000" w:themeColor="text1"/>
        </w:rPr>
        <w:t xml:space="preserve"> property.  If the court determines that the property is </w:t>
      </w:r>
      <w:r>
        <w:rPr>
          <w:color w:val="000000" w:themeColor="text1"/>
          <w:u w:val="single" w:color="000000" w:themeColor="text1"/>
        </w:rPr>
        <w:t>heirs</w:t>
      </w:r>
      <w:r w:rsidRPr="00C07E6E">
        <w:rPr>
          <w:color w:val="000000" w:themeColor="text1"/>
          <w:u w:val="single" w:color="000000" w:themeColor="text1"/>
        </w:rPr>
        <w:t>’</w:t>
      </w:r>
      <w:r w:rsidRPr="00C42FEA">
        <w:rPr>
          <w:color w:val="000000" w:themeColor="text1"/>
          <w:u w:val="single" w:color="000000" w:themeColor="text1"/>
        </w:rPr>
        <w:t xml:space="preserve"> property, the property must be partitioned under Article 3, Chapter 61, Title 15, unless all of the cotenants otherwise agree in a record.</w:t>
      </w:r>
      <w:r w:rsidRPr="00C42FEA">
        <w:rPr>
          <w:color w:val="000000" w:themeColor="text1"/>
          <w:u w:color="000000" w:themeColor="text1"/>
        </w:rPr>
        <w:t>”</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4.</w:t>
      </w: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100 of the 1976 Code is amended to read:</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100.</w:t>
      </w:r>
      <w:r w:rsidRPr="00C42FEA">
        <w:rPr>
          <w:color w:val="000000" w:themeColor="text1"/>
          <w:u w:color="000000" w:themeColor="text1"/>
        </w:rPr>
        <w:tab/>
        <w:t xml:space="preserve">Nothing in </w:t>
      </w:r>
      <w:r w:rsidRPr="00C42FEA">
        <w:rPr>
          <w:strike/>
          <w:color w:val="000000" w:themeColor="text1"/>
          <w:u w:color="000000" w:themeColor="text1"/>
        </w:rPr>
        <w:t>Sections 15</w:t>
      </w:r>
      <w:r>
        <w:rPr>
          <w:strike/>
          <w:color w:val="000000" w:themeColor="text1"/>
          <w:u w:color="000000" w:themeColor="text1"/>
        </w:rPr>
        <w:noBreakHyphen/>
      </w:r>
      <w:r w:rsidRPr="00C42FEA">
        <w:rPr>
          <w:strike/>
          <w:color w:val="000000" w:themeColor="text1"/>
          <w:u w:color="000000" w:themeColor="text1"/>
        </w:rPr>
        <w:t>61</w:t>
      </w:r>
      <w:r>
        <w:rPr>
          <w:strike/>
          <w:color w:val="000000" w:themeColor="text1"/>
          <w:u w:color="000000" w:themeColor="text1"/>
        </w:rPr>
        <w:noBreakHyphen/>
      </w:r>
      <w:r w:rsidRPr="00C42FEA">
        <w:rPr>
          <w:strike/>
          <w:color w:val="000000" w:themeColor="text1"/>
          <w:u w:color="000000" w:themeColor="text1"/>
        </w:rPr>
        <w:t>60 to 15</w:t>
      </w:r>
      <w:r>
        <w:rPr>
          <w:strike/>
          <w:color w:val="000000" w:themeColor="text1"/>
          <w:u w:color="000000" w:themeColor="text1"/>
        </w:rPr>
        <w:noBreakHyphen/>
      </w:r>
      <w:r w:rsidRPr="00C42FEA">
        <w:rPr>
          <w:strike/>
          <w:color w:val="000000" w:themeColor="text1"/>
          <w:u w:color="000000" w:themeColor="text1"/>
        </w:rPr>
        <w:t>61</w:t>
      </w:r>
      <w:r>
        <w:rPr>
          <w:strike/>
          <w:color w:val="000000" w:themeColor="text1"/>
          <w:u w:color="000000" w:themeColor="text1"/>
        </w:rPr>
        <w:noBreakHyphen/>
      </w:r>
      <w:r w:rsidRPr="00C42FEA">
        <w:rPr>
          <w:strike/>
          <w:color w:val="000000" w:themeColor="text1"/>
          <w:u w:color="000000" w:themeColor="text1"/>
        </w:rPr>
        <w:t>90</w:t>
      </w:r>
      <w:r w:rsidRPr="00C42FEA">
        <w:rPr>
          <w:color w:val="000000" w:themeColor="text1"/>
          <w:u w:color="000000" w:themeColor="text1"/>
        </w:rPr>
        <w:t xml:space="preserve"> </w:t>
      </w:r>
      <w:r w:rsidRPr="00C42FEA">
        <w:rPr>
          <w:color w:val="000000" w:themeColor="text1"/>
          <w:u w:val="single" w:color="000000" w:themeColor="text1"/>
        </w:rPr>
        <w:t>Rule 71, South Carolina Rules of Civil Procedure, concerning partition actions,</w:t>
      </w:r>
      <w:r w:rsidRPr="00C42FEA">
        <w:rPr>
          <w:color w:val="000000" w:themeColor="text1"/>
          <w:u w:color="000000" w:themeColor="text1"/>
        </w:rPr>
        <w:t xml:space="preserve"> shall be construed to affect the power of </w:t>
      </w:r>
      <w:r w:rsidRPr="00C42FEA">
        <w:rPr>
          <w:strike/>
          <w:color w:val="000000" w:themeColor="text1"/>
          <w:u w:color="000000" w:themeColor="text1"/>
        </w:rPr>
        <w:t>the</w:t>
      </w:r>
      <w:r w:rsidRPr="00C42FEA">
        <w:rPr>
          <w:color w:val="000000" w:themeColor="text1"/>
          <w:u w:color="000000" w:themeColor="text1"/>
        </w:rPr>
        <w:t xml:space="preserve"> </w:t>
      </w:r>
      <w:r w:rsidRPr="00C42FEA">
        <w:rPr>
          <w:color w:val="000000" w:themeColor="text1"/>
          <w:u w:val="single" w:color="000000" w:themeColor="text1"/>
        </w:rPr>
        <w:t>a</w:t>
      </w:r>
      <w:r w:rsidRPr="00C42FEA">
        <w:rPr>
          <w:color w:val="000000" w:themeColor="text1"/>
          <w:u w:color="000000" w:themeColor="text1"/>
        </w:rPr>
        <w:t xml:space="preserve"> court </w:t>
      </w:r>
      <w:r w:rsidRPr="00C42FEA">
        <w:rPr>
          <w:strike/>
          <w:color w:val="000000" w:themeColor="text1"/>
          <w:u w:color="000000" w:themeColor="text1"/>
        </w:rPr>
        <w:t>of common pleas</w:t>
      </w:r>
      <w:r w:rsidRPr="00C42FEA">
        <w:rPr>
          <w:color w:val="000000" w:themeColor="text1"/>
          <w:u w:color="000000" w:themeColor="text1"/>
        </w:rPr>
        <w:t xml:space="preserve"> </w:t>
      </w:r>
      <w:r w:rsidRPr="00C42FEA">
        <w:rPr>
          <w:color w:val="000000" w:themeColor="text1"/>
          <w:u w:val="single" w:color="000000" w:themeColor="text1"/>
        </w:rPr>
        <w:t>hearing a partition action</w:t>
      </w:r>
      <w:r w:rsidRPr="00C42FEA">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5.</w:t>
      </w:r>
      <w:r w:rsidRPr="00C42FEA">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C42FEA">
        <w:rPr>
          <w:color w:val="000000" w:themeColor="text1"/>
          <w:u w:color="000000" w:themeColor="text1"/>
        </w:rPr>
        <w:t>This act takes effect on July 1, 2016 and applies to partition actions filed on or after that date.</w:t>
      </w:r>
    </w:p>
    <w:p w:rsidR="00FF1050" w:rsidRDefault="00C07E6E" w:rsidP="002D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748" w:rsidRDefault="00597748" w:rsidP="00597748">
      <w:pPr>
        <w:suppressAutoHyphens/>
      </w:pPr>
    </w:p>
    <w:sectPr w:rsidR="00597748" w:rsidSect="000933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AA" w:rsidRDefault="00193DAA" w:rsidP="009F0C77">
      <w:r>
        <w:separator/>
      </w:r>
    </w:p>
  </w:endnote>
  <w:endnote w:type="continuationSeparator" w:id="0">
    <w:p w:rsidR="00193DAA" w:rsidRDefault="00193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800E00-8536-487E-98D3-F44853F5E911}"/>
    <w:embedBold r:id="rId2" w:fontKey="{628F52B3-90B3-4A32-833A-57A58593CF85}"/>
  </w:font>
  <w:font w:name="Calibri">
    <w:panose1 w:val="020F0502020204030204"/>
    <w:charset w:val="00"/>
    <w:family w:val="swiss"/>
    <w:pitch w:val="variable"/>
    <w:sig w:usb0="E10002FF" w:usb1="4000ACFF" w:usb2="00000009" w:usb3="00000000" w:csb0="0000019F" w:csb1="00000000"/>
    <w:embedRegular r:id="rId3" w:fontKey="{7EDCD147-7EAB-4584-9DFD-8C093D2FD12B}"/>
  </w:font>
  <w:font w:name="Cambria">
    <w:panose1 w:val="02040503050406030204"/>
    <w:charset w:val="00"/>
    <w:family w:val="roman"/>
    <w:pitch w:val="variable"/>
    <w:sig w:usb0="E00002FF" w:usb1="400004FF" w:usb2="00000000" w:usb3="00000000" w:csb0="0000019F" w:csb1="00000000"/>
    <w:embedRegular r:id="rId4" w:fontKey="{8676FEAA-4BA2-4A23-9622-59DCB9E82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50" w:rsidRPr="00E355CC" w:rsidRDefault="00E355CC" w:rsidP="00E355CC">
    <w:pPr>
      <w:pStyle w:val="Footer"/>
      <w:tabs>
        <w:tab w:val="clear" w:pos="4680"/>
        <w:tab w:val="clear" w:pos="9360"/>
        <w:tab w:val="center" w:pos="2995"/>
      </w:tabs>
      <w:spacing w:before="120"/>
    </w:pPr>
    <w:r>
      <w:t>[3325</w:t>
    </w:r>
    <w:r w:rsidR="0009338B">
      <w:t>-</w:t>
    </w:r>
    <w:r w:rsidR="0009338B">
      <w:fldChar w:fldCharType="begin"/>
    </w:r>
    <w:r w:rsidR="0009338B">
      <w:instrText xml:space="preserve"> PAGE  \* MERGEFORMAT </w:instrText>
    </w:r>
    <w:r w:rsidR="0009338B">
      <w:fldChar w:fldCharType="separate"/>
    </w:r>
    <w:r w:rsidR="00597748">
      <w:rPr>
        <w:noProof/>
      </w:rPr>
      <w:t>1</w:t>
    </w:r>
    <w:r w:rsidR="0009338B">
      <w:fldChar w:fldCharType="end"/>
    </w:r>
    <w:r w:rsidR="000933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8B" w:rsidRPr="00E355CC" w:rsidRDefault="0009338B" w:rsidP="00E355CC">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5977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AA" w:rsidRDefault="00193DAA" w:rsidP="009F0C77">
      <w:r>
        <w:separator/>
      </w:r>
    </w:p>
  </w:footnote>
  <w:footnote w:type="continuationSeparator" w:id="0">
    <w:p w:rsidR="00193DAA" w:rsidRDefault="00193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CZ15"/>
    <w:docVar w:name="CoverBillType" w:val="b"/>
    <w:docVar w:name="docpath" w:val="L:\Council\bills\NBD\11043CZ15.DOCX"/>
    <w:docVar w:name="dvBillNumber" w:val="3325"/>
    <w:docVar w:name="dvBillNumberPrefix" w:val="H. "/>
    <w:docVar w:name="dvOriginalBody" w:val="House"/>
    <w:docVar w:name="dvSteno" w:val="NBD"/>
    <w:docVar w:name="NameofBody" w:val="h"/>
    <w:docVar w:name="vgroup2" w:val="Council"/>
  </w:docVars>
  <w:rsids>
    <w:rsidRoot w:val="00193DAA"/>
    <w:rsid w:val="00011869"/>
    <w:rsid w:val="00015CD6"/>
    <w:rsid w:val="0009338B"/>
    <w:rsid w:val="000E1039"/>
    <w:rsid w:val="000E1785"/>
    <w:rsid w:val="000F40FA"/>
    <w:rsid w:val="0010776B"/>
    <w:rsid w:val="00133E66"/>
    <w:rsid w:val="001435A3"/>
    <w:rsid w:val="00193DAA"/>
    <w:rsid w:val="001D08F2"/>
    <w:rsid w:val="001D525B"/>
    <w:rsid w:val="001D7F4F"/>
    <w:rsid w:val="002321B6"/>
    <w:rsid w:val="00250967"/>
    <w:rsid w:val="002543C8"/>
    <w:rsid w:val="00284AAE"/>
    <w:rsid w:val="002D4E8A"/>
    <w:rsid w:val="002D7BA4"/>
    <w:rsid w:val="002E5912"/>
    <w:rsid w:val="00301B21"/>
    <w:rsid w:val="00325348"/>
    <w:rsid w:val="0032732C"/>
    <w:rsid w:val="00336AD0"/>
    <w:rsid w:val="00365271"/>
    <w:rsid w:val="0037079A"/>
    <w:rsid w:val="003806B8"/>
    <w:rsid w:val="003D01E8"/>
    <w:rsid w:val="003E3696"/>
    <w:rsid w:val="003E5288"/>
    <w:rsid w:val="003F6D79"/>
    <w:rsid w:val="0041760A"/>
    <w:rsid w:val="00417C01"/>
    <w:rsid w:val="00472DF5"/>
    <w:rsid w:val="004809EE"/>
    <w:rsid w:val="004E7D54"/>
    <w:rsid w:val="005273C6"/>
    <w:rsid w:val="00530A69"/>
    <w:rsid w:val="00545593"/>
    <w:rsid w:val="00577C6C"/>
    <w:rsid w:val="00597748"/>
    <w:rsid w:val="005C2FE2"/>
    <w:rsid w:val="005E2BC9"/>
    <w:rsid w:val="00605102"/>
    <w:rsid w:val="006215AA"/>
    <w:rsid w:val="006913C9"/>
    <w:rsid w:val="0069470D"/>
    <w:rsid w:val="00734F00"/>
    <w:rsid w:val="007A70AE"/>
    <w:rsid w:val="008362E8"/>
    <w:rsid w:val="008A1768"/>
    <w:rsid w:val="008F0F33"/>
    <w:rsid w:val="008F4429"/>
    <w:rsid w:val="00905448"/>
    <w:rsid w:val="0094021A"/>
    <w:rsid w:val="009B44AF"/>
    <w:rsid w:val="009C6A0B"/>
    <w:rsid w:val="009F0C77"/>
    <w:rsid w:val="009F4DD1"/>
    <w:rsid w:val="00A41684"/>
    <w:rsid w:val="00A64E80"/>
    <w:rsid w:val="00A72BCD"/>
    <w:rsid w:val="00A741D9"/>
    <w:rsid w:val="00A833AB"/>
    <w:rsid w:val="00A9741D"/>
    <w:rsid w:val="00AD4B17"/>
    <w:rsid w:val="00B27C40"/>
    <w:rsid w:val="00B338FD"/>
    <w:rsid w:val="00B412D4"/>
    <w:rsid w:val="00BE3C22"/>
    <w:rsid w:val="00C0345E"/>
    <w:rsid w:val="00C07E6E"/>
    <w:rsid w:val="00C17B9D"/>
    <w:rsid w:val="00C3483A"/>
    <w:rsid w:val="00C74E9D"/>
    <w:rsid w:val="00C82FD3"/>
    <w:rsid w:val="00C92819"/>
    <w:rsid w:val="00CC6B7B"/>
    <w:rsid w:val="00CD2089"/>
    <w:rsid w:val="00D73A67"/>
    <w:rsid w:val="00D970A9"/>
    <w:rsid w:val="00DF3845"/>
    <w:rsid w:val="00E355CC"/>
    <w:rsid w:val="00E41911"/>
    <w:rsid w:val="00E82EC0"/>
    <w:rsid w:val="00E92EEF"/>
    <w:rsid w:val="00F24442"/>
    <w:rsid w:val="00F50AE3"/>
    <w:rsid w:val="00F56D66"/>
    <w:rsid w:val="00F67CF1"/>
    <w:rsid w:val="00F840F0"/>
    <w:rsid w:val="00FB0D0D"/>
    <w:rsid w:val="00FB43B4"/>
    <w:rsid w:val="00FF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8813A-F4EF-4A0F-8286-6AB148C7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7EA74-5A1D-44B7-AD84-62A4E5425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ED6DE01B.dotm</Template>
  <TotalTime>0</TotalTime>
  <Pages>12</Pages>
  <Words>4271</Words>
  <Characters>21238</Characters>
  <Application>Microsoft Office Word</Application>
  <DocSecurity>0</DocSecurity>
  <Lines>492</Lines>
  <Paragraphs>116</Paragraphs>
  <ScaleCrop>false</ScaleCrop>
  <Company>LPITS</Company>
  <LinksUpToDate>false</LinksUpToDate>
  <CharactersWithSpaces>25559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3325 Text of Previous Version (May 12, 2015) - South Carolina Legislature Online</dc:title>
  <dc:creator>%USERNAME%</dc:creator>
  <cp:lastModifiedBy>Miriam Cook</cp:lastModifiedBy>
  <cp:revision>2</cp:revision>
  <dcterms:created xsi:type="dcterms:W3CDTF">2015-05-12T22:04:00Z</dcterms:created>
  <dcterms:modified xsi:type="dcterms:W3CDTF">2015-05-12T22:04:00Z</dcterms:modified>
</cp:coreProperties>
</file>