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0D7B" w:rsidRDefault="002728F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2728F3" w:rsidRPr="002728F3" w:rsidRDefault="002728F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2728F3" w:rsidRDefault="002728F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728F3" w:rsidRDefault="002728F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2728F3" w:rsidRDefault="002728F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April 28, 2015</w:t>
      </w:r>
    </w:p>
    <w:p w:rsidR="002728F3" w:rsidRDefault="002728F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728F3" w:rsidRPr="002728F3" w:rsidRDefault="002728F3" w:rsidP="002728F3">
      <w:pPr>
        <w:tabs>
          <w:tab w:val="right" w:pos="5933"/>
        </w:tabs>
        <w:suppressAutoHyphens/>
        <w:jc w:val="left"/>
      </w:pPr>
      <w:r>
        <w:tab/>
      </w:r>
      <w:r>
        <w:rPr>
          <w:b/>
          <w:sz w:val="36"/>
        </w:rPr>
        <w:t>H. 3710</w:t>
      </w:r>
    </w:p>
    <w:p w:rsidR="002728F3" w:rsidRDefault="002728F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728F3" w:rsidRDefault="002728F3" w:rsidP="00E95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67CA0">
        <w:t>Reps. Hixon, Norman, Taylor, Wells, Hamilton, Atwater, Brannon, Gagnon, Corley, Ballentine, Southard, Clemmons, Delleney, Gambrell, Huggins, Kennedy, Kirby, Loftis, D.C. Moss, Pitts, Riley, Rivers, Simrill, Toole and Bedingfield</w:t>
      </w:r>
    </w:p>
    <w:p w:rsidR="002728F3" w:rsidRDefault="002728F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728F3" w:rsidRDefault="002728F3" w:rsidP="00BB285F">
      <w:pPr>
        <w:tabs>
          <w:tab w:val="right" w:pos="5933"/>
        </w:tabs>
        <w:suppressAutoHyphens/>
        <w:jc w:val="left"/>
      </w:pPr>
      <w:r>
        <w:t>S. Printed 4/28/15--H.</w:t>
      </w:r>
      <w:r w:rsidR="00BB285F">
        <w:tab/>
        <w:t>[SEC 4/29/15 5:02 PM]</w:t>
      </w:r>
    </w:p>
    <w:p w:rsidR="002728F3" w:rsidRDefault="002728F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24, 2015.</w:t>
      </w:r>
    </w:p>
    <w:p w:rsidR="002728F3" w:rsidRPr="002728F3" w:rsidRDefault="002728F3" w:rsidP="0027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728F3" w:rsidRDefault="002728F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728F3" w:rsidRDefault="002728F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2728F3" w:rsidSect="00430D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D381F" w:rsidRDefault="00BD381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BD3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75E3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3F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noBreakHyphen/>
        <w:t>43</w:t>
      </w:r>
      <w:r>
        <w:noBreakHyphen/>
        <w:t>225, AS AMENDED, CODE OF LAWS OF SOUTH CAROLINA, 1976, RELATING TO THE MULTIPLE LOT DISCOUNT, SO AS TO PROVIDE FIVE ADDITIONAL YEARS OF ELIGIBILITY IN CERTAIN CIRCUMSTANCES.</w:t>
      </w:r>
      <w:r>
        <w:tab/>
      </w:r>
      <w:bookmarkEnd w:id="1"/>
    </w:p>
    <w:p w:rsidR="0010776B" w:rsidRDefault="002728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728F3" w:rsidRDefault="002728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E3F" w:rsidRDefault="00D75E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5E3F" w:rsidRDefault="00D75E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8F3" w:rsidRPr="0037329B" w:rsidRDefault="002728F3" w:rsidP="0027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329B">
        <w:t>SECTION</w:t>
      </w:r>
      <w:r w:rsidRPr="0037329B">
        <w:tab/>
        <w:t>1.</w:t>
      </w:r>
      <w:r w:rsidRPr="0037329B">
        <w:tab/>
      </w:r>
      <w:r w:rsidRPr="0037329B">
        <w:rPr>
          <w:u w:color="000000" w:themeColor="text1"/>
        </w:rPr>
        <w:t>Section 12</w:t>
      </w:r>
      <w:r w:rsidRPr="0037329B">
        <w:rPr>
          <w:u w:color="000000" w:themeColor="text1"/>
        </w:rPr>
        <w:noBreakHyphen/>
        <w:t>43</w:t>
      </w:r>
      <w:r w:rsidRPr="0037329B">
        <w:rPr>
          <w:u w:color="000000" w:themeColor="text1"/>
        </w:rPr>
        <w:noBreakHyphen/>
        <w:t>225(D) of the 1976 Code, as last amended by Act 277 of 2014, is further amended to read:</w:t>
      </w:r>
    </w:p>
    <w:p w:rsidR="002728F3" w:rsidRDefault="002728F3" w:rsidP="0027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728F3" w:rsidRPr="0037329B" w:rsidRDefault="002728F3" w:rsidP="0027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329B">
        <w:rPr>
          <w:u w:color="000000" w:themeColor="text1"/>
        </w:rPr>
        <w:tab/>
        <w:t>“(D)(1)</w:t>
      </w:r>
      <w:r w:rsidRPr="0037329B">
        <w:rPr>
          <w:u w:color="000000" w:themeColor="text1"/>
        </w:rPr>
        <w:tab/>
        <w:t xml:space="preserve">For lots which received the discount provided in subsection (B) on December 31, 2011, there is granted </w:t>
      </w:r>
      <w:r w:rsidRPr="0037329B">
        <w:rPr>
          <w:strike/>
          <w:u w:color="000000" w:themeColor="text1"/>
        </w:rPr>
        <w:t>an</w:t>
      </w:r>
      <w:r w:rsidRPr="0037329B">
        <w:rPr>
          <w:u w:color="000000" w:themeColor="text1"/>
        </w:rPr>
        <w:t xml:space="preserve"> additional </w:t>
      </w:r>
      <w:r w:rsidRPr="0037329B">
        <w:rPr>
          <w:strike/>
          <w:u w:color="000000" w:themeColor="text1"/>
        </w:rPr>
        <w:t>year of</w:t>
      </w:r>
      <w:r w:rsidRPr="0037329B">
        <w:rPr>
          <w:u w:color="000000" w:themeColor="text1"/>
        </w:rPr>
        <w:t xml:space="preserve"> eligibility for that discount in </w:t>
      </w:r>
      <w:r w:rsidRPr="00BB285F">
        <w:rPr>
          <w:u w:val="single"/>
        </w:rPr>
        <w:t>all</w:t>
      </w:r>
      <w:r w:rsidRPr="0037329B">
        <w:rPr>
          <w:u w:color="000000" w:themeColor="text1"/>
        </w:rPr>
        <w:t xml:space="preserve"> property tax years </w:t>
      </w:r>
      <w:r w:rsidRPr="0037329B">
        <w:rPr>
          <w:strike/>
          <w:u w:color="000000" w:themeColor="text1"/>
        </w:rPr>
        <w:t>2012, 2013, 2014, and 2015</w:t>
      </w:r>
      <w:r w:rsidRPr="0037329B">
        <w:rPr>
          <w:u w:color="000000" w:themeColor="text1"/>
        </w:rPr>
        <w:t xml:space="preserve"> </w:t>
      </w:r>
      <w:r w:rsidRPr="0037329B">
        <w:rPr>
          <w:u w:val="single" w:color="000000" w:themeColor="text1"/>
        </w:rPr>
        <w:t>beginning after 2011 and before 2019</w:t>
      </w:r>
      <w:r w:rsidRPr="0037329B">
        <w:rPr>
          <w:u w:color="000000" w:themeColor="text1"/>
        </w:rPr>
        <w:t>, in addition to any remaining period provided for in subsection (B). If ten or more lots receiving the discount under this item are sold to a new owner primarily in the business of real estate development, the new owner may make written application within sixty days of the date of sale to the assessor for the remaining eligibility period under this item.</w:t>
      </w:r>
    </w:p>
    <w:p w:rsidR="002728F3" w:rsidRPr="0037329B" w:rsidRDefault="002728F3" w:rsidP="0027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329B">
        <w:rPr>
          <w:u w:color="000000" w:themeColor="text1"/>
        </w:rPr>
        <w:tab/>
      </w:r>
      <w:r w:rsidRPr="0037329B">
        <w:rPr>
          <w:u w:color="000000" w:themeColor="text1"/>
        </w:rPr>
        <w:tab/>
        <w:t>(2)</w:t>
      </w:r>
      <w:r w:rsidRPr="0037329B">
        <w:rPr>
          <w:u w:color="000000" w:themeColor="text1"/>
        </w:rPr>
        <w:tab/>
        <w:t xml:space="preserve">For lots which received the discount provided in subsection (C) after December 31, 2008, and before January 1, 2012, upon written application to the assessor no later than thirty days after mailing of the property tax bill, there is granted </w:t>
      </w:r>
      <w:r w:rsidRPr="0037329B">
        <w:rPr>
          <w:strike/>
          <w:u w:color="000000" w:themeColor="text1"/>
        </w:rPr>
        <w:t>an</w:t>
      </w:r>
      <w:r w:rsidRPr="0037329B">
        <w:rPr>
          <w:u w:color="000000" w:themeColor="text1"/>
        </w:rPr>
        <w:t xml:space="preserve"> additional </w:t>
      </w:r>
      <w:r w:rsidRPr="0037329B">
        <w:rPr>
          <w:strike/>
          <w:u w:color="000000" w:themeColor="text1"/>
        </w:rPr>
        <w:t>year of</w:t>
      </w:r>
      <w:r w:rsidRPr="0037329B">
        <w:rPr>
          <w:u w:color="000000" w:themeColor="text1"/>
        </w:rPr>
        <w:t xml:space="preserve"> eligibility for that discount in </w:t>
      </w:r>
      <w:r w:rsidRPr="0037329B">
        <w:rPr>
          <w:u w:val="single" w:color="000000" w:themeColor="text1"/>
        </w:rPr>
        <w:t>all</w:t>
      </w:r>
      <w:r w:rsidRPr="0037329B">
        <w:rPr>
          <w:u w:color="000000" w:themeColor="text1"/>
        </w:rPr>
        <w:t xml:space="preserve"> property tax years </w:t>
      </w:r>
      <w:r w:rsidRPr="0037329B">
        <w:rPr>
          <w:strike/>
          <w:u w:color="000000" w:themeColor="text1"/>
        </w:rPr>
        <w:t>2012, 2013, 2014, and 2015</w:t>
      </w:r>
      <w:r w:rsidRPr="0037329B">
        <w:rPr>
          <w:u w:color="000000" w:themeColor="text1"/>
        </w:rPr>
        <w:t xml:space="preserve"> </w:t>
      </w:r>
      <w:r w:rsidRPr="0037329B">
        <w:rPr>
          <w:u w:val="single" w:color="000000" w:themeColor="text1"/>
        </w:rPr>
        <w:t>beginning after 2011 and before 2019</w:t>
      </w:r>
      <w:r w:rsidRPr="0037329B">
        <w:rPr>
          <w:u w:color="000000" w:themeColor="text1"/>
        </w:rPr>
        <w:t xml:space="preserve">. If a lot receiving the additional eligibility under this item is transferred to a new owner primarily in the business of residential development or residential construction during its eligibility period, </w:t>
      </w:r>
      <w:r w:rsidRPr="0037329B">
        <w:rPr>
          <w:u w:color="000000" w:themeColor="text1"/>
        </w:rPr>
        <w:lastRenderedPageBreak/>
        <w:t>the new owner may apply to the county assessor for the discount allowed by this item for the remaining period of eligibility, which must be allowed if the new owner applied for the discount within thirty days of the mailing of the tax bill and meets the other requirements of this section.”</w:t>
      </w:r>
    </w:p>
    <w:p w:rsidR="002728F3" w:rsidRDefault="002728F3" w:rsidP="0027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E3F" w:rsidRDefault="002728F3" w:rsidP="00272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329B">
        <w:t>SECTION</w:t>
      </w:r>
      <w:r w:rsidRPr="0037329B">
        <w:tab/>
        <w:t>2.</w:t>
      </w:r>
      <w:r w:rsidRPr="0037329B">
        <w:tab/>
        <w:t>This act takes effect upon approval by the Governor.</w:t>
      </w:r>
    </w:p>
    <w:p w:rsidR="00A1118E" w:rsidRDefault="00EA3F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0D59" w:rsidRDefault="00070D59" w:rsidP="00070D59">
      <w:pPr>
        <w:suppressAutoHyphens/>
      </w:pPr>
    </w:p>
    <w:sectPr w:rsidR="00070D59" w:rsidSect="00430D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E3F" w:rsidRDefault="00D75E3F" w:rsidP="009F0C77">
      <w:r>
        <w:separator/>
      </w:r>
    </w:p>
  </w:endnote>
  <w:endnote w:type="continuationSeparator" w:id="0">
    <w:p w:rsidR="00D75E3F" w:rsidRDefault="00D75E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BC166E-69E9-4466-9E20-CE2DFA77A287}"/>
    <w:embedBold r:id="rId2" w:fontKey="{E18DBF0F-A27A-4909-9B00-4E1D6AFCD201}"/>
  </w:font>
  <w:font w:name="Calibri">
    <w:panose1 w:val="020F0502020204030204"/>
    <w:charset w:val="00"/>
    <w:family w:val="swiss"/>
    <w:pitch w:val="variable"/>
    <w:sig w:usb0="E10002FF" w:usb1="4000ACFF" w:usb2="00000009" w:usb3="00000000" w:csb0="0000019F" w:csb1="00000000"/>
    <w:embedRegular r:id="rId3" w:fontKey="{CBF135A6-5B69-4BC4-A45B-F0B12C881FA1}"/>
  </w:font>
  <w:font w:name="Segoe UI">
    <w:panose1 w:val="020B0502040204020203"/>
    <w:charset w:val="00"/>
    <w:family w:val="swiss"/>
    <w:pitch w:val="variable"/>
    <w:sig w:usb0="E10022FF" w:usb1="C000E47F" w:usb2="00000029" w:usb3="00000000" w:csb0="000001DF" w:csb1="00000000"/>
    <w:embedRegular r:id="rId4" w:fontKey="{412C7B52-D5F9-4FAA-A816-EAE31998AE65}"/>
  </w:font>
  <w:font w:name="Cambria">
    <w:panose1 w:val="02040503050406030204"/>
    <w:charset w:val="00"/>
    <w:family w:val="roman"/>
    <w:pitch w:val="variable"/>
    <w:sig w:usb0="E00002FF" w:usb1="400004FF" w:usb2="00000000" w:usb3="00000000" w:csb0="0000019F" w:csb1="00000000"/>
    <w:embedRegular r:id="rId5" w:fontKey="{4271FCBC-BD4F-4E61-9C17-1FE7CB6CF9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18E" w:rsidRPr="00BD381F" w:rsidRDefault="00BD381F" w:rsidP="00BD381F">
    <w:pPr>
      <w:pStyle w:val="Footer"/>
      <w:tabs>
        <w:tab w:val="clear" w:pos="4680"/>
        <w:tab w:val="clear" w:pos="9360"/>
        <w:tab w:val="center" w:pos="2995"/>
      </w:tabs>
      <w:spacing w:before="120"/>
    </w:pPr>
    <w:r>
      <w:t>[3710</w:t>
    </w:r>
    <w:r w:rsidR="00430D7B">
      <w:t>-</w:t>
    </w:r>
    <w:r w:rsidR="00430D7B">
      <w:fldChar w:fldCharType="begin"/>
    </w:r>
    <w:r w:rsidR="00430D7B">
      <w:instrText xml:space="preserve"> PAGE  \* MERGEFORMAT </w:instrText>
    </w:r>
    <w:r w:rsidR="00430D7B">
      <w:fldChar w:fldCharType="separate"/>
    </w:r>
    <w:r w:rsidR="00BB285F">
      <w:rPr>
        <w:noProof/>
      </w:rPr>
      <w:t>1</w:t>
    </w:r>
    <w:r w:rsidR="00430D7B">
      <w:fldChar w:fldCharType="end"/>
    </w:r>
    <w:r w:rsidR="00430D7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D7B" w:rsidRPr="00BD381F" w:rsidRDefault="00430D7B" w:rsidP="00BD381F">
    <w:pPr>
      <w:pStyle w:val="Footer"/>
      <w:tabs>
        <w:tab w:val="clear" w:pos="4680"/>
        <w:tab w:val="clear" w:pos="9360"/>
        <w:tab w:val="center" w:pos="2995"/>
      </w:tabs>
      <w:spacing w:before="120"/>
    </w:pPr>
    <w:r>
      <w:t>[3710]</w:t>
    </w:r>
    <w:r>
      <w:tab/>
    </w:r>
    <w:r>
      <w:fldChar w:fldCharType="begin"/>
    </w:r>
    <w:r>
      <w:instrText xml:space="preserve"> PAGE  \* MERGEFORMAT </w:instrText>
    </w:r>
    <w:r>
      <w:fldChar w:fldCharType="separate"/>
    </w:r>
    <w:r w:rsidR="00070D5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E3F" w:rsidRDefault="00D75E3F" w:rsidP="009F0C77">
      <w:r>
        <w:separator/>
      </w:r>
    </w:p>
  </w:footnote>
  <w:footnote w:type="continuationSeparator" w:id="0">
    <w:p w:rsidR="00D75E3F" w:rsidRDefault="00D75E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46DG15"/>
    <w:docVar w:name="CoverBillType" w:val="b"/>
    <w:docVar w:name="docpath" w:val="L:\Council\bills\BBM\9146DG15.DOCX"/>
    <w:docVar w:name="dvBillNumber" w:val="3710"/>
    <w:docVar w:name="dvBillNumberPrefix" w:val="H. "/>
    <w:docVar w:name="dvOriginalBody" w:val="House"/>
    <w:docVar w:name="dvSteno" w:val="BBM"/>
    <w:docVar w:name="NameofBody" w:val="h"/>
    <w:docVar w:name="vgroup2" w:val="Council"/>
  </w:docVars>
  <w:rsids>
    <w:rsidRoot w:val="00D75E3F"/>
    <w:rsid w:val="00011869"/>
    <w:rsid w:val="00015CD6"/>
    <w:rsid w:val="00070D59"/>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728F3"/>
    <w:rsid w:val="00284AAE"/>
    <w:rsid w:val="002E5912"/>
    <w:rsid w:val="00301B21"/>
    <w:rsid w:val="00325348"/>
    <w:rsid w:val="0032732C"/>
    <w:rsid w:val="00336AD0"/>
    <w:rsid w:val="0037079A"/>
    <w:rsid w:val="003C4DAB"/>
    <w:rsid w:val="003D01E8"/>
    <w:rsid w:val="003E5288"/>
    <w:rsid w:val="003F0301"/>
    <w:rsid w:val="003F6D79"/>
    <w:rsid w:val="0041760A"/>
    <w:rsid w:val="00417C01"/>
    <w:rsid w:val="00430D7B"/>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B0192"/>
    <w:rsid w:val="008F0F33"/>
    <w:rsid w:val="008F4429"/>
    <w:rsid w:val="0094021A"/>
    <w:rsid w:val="009B44AF"/>
    <w:rsid w:val="009C6A0B"/>
    <w:rsid w:val="009F0C77"/>
    <w:rsid w:val="009F4DD1"/>
    <w:rsid w:val="00A1118E"/>
    <w:rsid w:val="00A41684"/>
    <w:rsid w:val="00A64E80"/>
    <w:rsid w:val="00A72BCD"/>
    <w:rsid w:val="00A741D9"/>
    <w:rsid w:val="00A833AB"/>
    <w:rsid w:val="00A9741D"/>
    <w:rsid w:val="00AD4B17"/>
    <w:rsid w:val="00B412D4"/>
    <w:rsid w:val="00BB285F"/>
    <w:rsid w:val="00BD381F"/>
    <w:rsid w:val="00BE3C22"/>
    <w:rsid w:val="00C0345E"/>
    <w:rsid w:val="00C3483A"/>
    <w:rsid w:val="00C74E9D"/>
    <w:rsid w:val="00C82FD3"/>
    <w:rsid w:val="00C92819"/>
    <w:rsid w:val="00CC6B7B"/>
    <w:rsid w:val="00CD2089"/>
    <w:rsid w:val="00D73A67"/>
    <w:rsid w:val="00D75D00"/>
    <w:rsid w:val="00D75E3F"/>
    <w:rsid w:val="00D970A9"/>
    <w:rsid w:val="00DF3845"/>
    <w:rsid w:val="00E41911"/>
    <w:rsid w:val="00E92EEF"/>
    <w:rsid w:val="00E95362"/>
    <w:rsid w:val="00EA3F5B"/>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E30943-825F-4ACB-90B9-ECE6B1820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3F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F5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8FAA8-FD36-4ED0-B1B0-004B6AD30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35791B71.dotm</Template>
  <TotalTime>0</TotalTime>
  <Pages>3</Pages>
  <Words>392</Words>
  <Characters>1994</Characters>
  <Application>Microsoft Office Word</Application>
  <DocSecurity>0</DocSecurity>
  <Lines>68</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3710 Text of Previous Version (Apr. 29, 2015) - South Carolina Legislature Online</dc:title>
  <dc:creator>BRENDA MELTON</dc:creator>
  <cp:lastModifiedBy>Angela Hopkins</cp:lastModifiedBy>
  <cp:revision>2</cp:revision>
  <cp:lastPrinted>2015-01-14T19:22:00Z</cp:lastPrinted>
  <dcterms:created xsi:type="dcterms:W3CDTF">2015-04-29T21:02:00Z</dcterms:created>
  <dcterms:modified xsi:type="dcterms:W3CDTF">2015-04-29T21:02:00Z</dcterms:modified>
</cp:coreProperties>
</file>