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74E"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3482A" w:rsidRP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6BD" w:rsidRDefault="002366BD" w:rsidP="003A7C0B">
      <w:pPr>
        <w:tabs>
          <w:tab w:val="right" w:pos="5933"/>
        </w:tabs>
        <w:suppressAutoHyphens/>
      </w:pPr>
      <w:r>
        <w:t>AMENDED</w:t>
      </w:r>
    </w:p>
    <w:p w:rsidR="002366BD" w:rsidRDefault="002366BD" w:rsidP="003A7C0B">
      <w:pPr>
        <w:tabs>
          <w:tab w:val="right" w:pos="5933"/>
        </w:tabs>
        <w:suppressAutoHyphens/>
      </w:pPr>
      <w:r>
        <w:t>May 24, 2016</w:t>
      </w:r>
    </w:p>
    <w:p w:rsidR="002366BD" w:rsidRDefault="002366BD" w:rsidP="003A7C0B">
      <w:pPr>
        <w:tabs>
          <w:tab w:val="right" w:pos="5933"/>
        </w:tabs>
        <w:suppressAutoHyphens/>
      </w:pPr>
    </w:p>
    <w:p w:rsidR="003A7C0B" w:rsidRPr="003A7C0B" w:rsidRDefault="003A7C0B" w:rsidP="003A7C0B">
      <w:pPr>
        <w:tabs>
          <w:tab w:val="right" w:pos="5933"/>
        </w:tabs>
        <w:suppressAutoHyphens/>
      </w:pPr>
      <w:r>
        <w:tab/>
      </w:r>
      <w:r>
        <w:rPr>
          <w:b/>
          <w:sz w:val="36"/>
        </w:rPr>
        <w:t>H. 4765</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G.R. Smith, Parks, D.C. Moss, Cobb</w:t>
      </w:r>
      <w:r>
        <w:noBreakHyphen/>
        <w:t>Hunter, Jefferson, Duckworth, Daning, Kirby, R.L. Brown, Burns, Douglas, Brannon, Anthony, Mitchell, Ridgeway, Robinson</w:t>
      </w:r>
      <w:r>
        <w:noBreakHyphen/>
        <w:t>Simpson, Clyburn, Ryhal, Johnson, Yow, G.A. Brown, Riley, Taylor, Limehouse, Williams, Simrill, Bedingfield, Chumley, Dillard, Herbkersman, Hicks, Hill, Loftis, Long, V.S. Moss, Pope, Rivers, Thayer, Wells, Crosby and King</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0B" w:rsidRDefault="002366BD" w:rsidP="00145D15">
      <w:pPr>
        <w:tabs>
          <w:tab w:val="right" w:pos="5933"/>
        </w:tabs>
        <w:suppressAutoHyphens/>
      </w:pPr>
      <w:r>
        <w:t>S. Printed 5/24</w:t>
      </w:r>
      <w:r w:rsidR="003A7C0B">
        <w:t>/16--S.</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3A7C0B" w:rsidRPr="003A7C0B" w:rsidRDefault="003A7C0B" w:rsidP="003A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482A" w:rsidSect="00E837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3922" w:rsidRDefault="004A3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60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07" w:rsidRPr="00893A14" w:rsidRDefault="009D2B07" w:rsidP="009D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93A14">
        <w:rPr>
          <w:color w:val="000000" w:themeColor="text1"/>
          <w:u w:color="000000" w:themeColor="text1"/>
        </w:rPr>
        <w:t>TO AMEND SECTION 12</w:t>
      </w:r>
      <w:r w:rsidR="00837FEB">
        <w:rPr>
          <w:color w:val="000000" w:themeColor="text1"/>
          <w:u w:color="000000" w:themeColor="text1"/>
        </w:rPr>
        <w:noBreakHyphen/>
      </w:r>
      <w:r w:rsidRPr="00893A14">
        <w:rPr>
          <w:color w:val="000000" w:themeColor="text1"/>
          <w:u w:color="000000" w:themeColor="text1"/>
        </w:rPr>
        <w:t>6</w:t>
      </w:r>
      <w:r w:rsidR="00837FEB">
        <w:rPr>
          <w:color w:val="000000" w:themeColor="text1"/>
          <w:u w:color="000000" w:themeColor="text1"/>
        </w:rPr>
        <w:noBreakHyphen/>
      </w:r>
      <w:r w:rsidRPr="00893A14">
        <w:rPr>
          <w:color w:val="000000" w:themeColor="text1"/>
          <w:u w:color="000000" w:themeColor="text1"/>
        </w:rPr>
        <w:t xml:space="preserve">5060, CODE OF LAWS OF SOUTH CAROLINA, 1976, RELATING TO VOLUNTARY CONTRIBUTIONS MADE BY AN INDIVIDUAL BY MEANS OF THE INCOME TAX RETURN CHECK OFF, SO AS TO ADD HABITAT FOR HUMANITY.  </w:t>
      </w:r>
      <w:bookmarkEnd w:id="1"/>
    </w:p>
    <w:p w:rsidR="0053482A" w:rsidRDefault="002366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366BD" w:rsidRDefault="002366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2B07">
        <w:t>Section 12</w:t>
      </w:r>
      <w:r w:rsidR="00837FEB">
        <w:noBreakHyphen/>
      </w:r>
      <w:r w:rsidR="009D2B07">
        <w:t>6</w:t>
      </w:r>
      <w:r w:rsidR="00837FEB">
        <w:noBreakHyphen/>
      </w:r>
      <w:r w:rsidR="009D2B07">
        <w:t>5060(A) of the 1976 Code is amended to read:</w:t>
      </w:r>
    </w:p>
    <w:p w:rsidR="009D2B07" w:rsidRDefault="009D2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07" w:rsidRDefault="009D2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B27AC">
        <w:t>“</w:t>
      </w:r>
      <w:r w:rsidR="0053482A" w:rsidRPr="006537A1">
        <w:t>(A)</w:t>
      </w:r>
      <w:r w:rsidR="0053482A" w:rsidRPr="006537A1">
        <w:tab/>
        <w:t>Each taxpayer required to file a state individual income tax return may contribute to the War Between the States Heritage Trust Fund established pursuant to Section 51</w:t>
      </w:r>
      <w:r w:rsidR="0053482A" w:rsidRPr="006537A1">
        <w:noBreakHyphen/>
        <w:t>18</w:t>
      </w:r>
      <w:r w:rsidR="0053482A" w:rsidRPr="006537A1">
        <w:noBreakHyphen/>
        <w:t>115, the Nongame Wildlife and Natural Areas Program Fund established pursuant to Section 50</w:t>
      </w:r>
      <w:r w:rsidR="0053482A" w:rsidRPr="006537A1">
        <w:noBreakHyphen/>
        <w:t>1</w:t>
      </w:r>
      <w:r w:rsidR="0053482A" w:rsidRPr="006537A1">
        <w:noBreakHyphen/>
        <w:t>280, the Children’s Trust Fund of South Carolina established pursuant to Section 63</w:t>
      </w:r>
      <w:r w:rsidR="0053482A" w:rsidRPr="006537A1">
        <w:noBreakHyphen/>
        <w:t>11</w:t>
      </w:r>
      <w:r w:rsidR="0053482A" w:rsidRPr="006537A1">
        <w:noBreakHyphen/>
        <w:t>910, the Eldercare Trust Fund of South Carolina established pursuant to Section 43</w:t>
      </w:r>
      <w:r w:rsidR="0053482A" w:rsidRPr="006537A1">
        <w:noBreakHyphen/>
        <w:t>21</w:t>
      </w:r>
      <w:r w:rsidR="0053482A" w:rsidRPr="006537A1">
        <w:noBreakHyphen/>
        <w:t>160, or the First Steps to School Readiness Fund established pursuant to Section 63</w:t>
      </w:r>
      <w:r w:rsidR="0053482A" w:rsidRPr="006537A1">
        <w:noBreakHyphen/>
        <w:t>11</w:t>
      </w:r>
      <w:r w:rsidR="0053482A" w:rsidRPr="006537A1">
        <w:noBreakHyphen/>
        <w:t>1750, the South Carolina Military Family Relief Fund established pursuant to Article 3, Chapter 11, Title 25, the Donate Life South Carolina established pursuant to Section 44</w:t>
      </w:r>
      <w:r w:rsidR="0053482A" w:rsidRPr="006537A1">
        <w:noBreakHyphen/>
        <w:t>43</w:t>
      </w:r>
      <w:r w:rsidR="0053482A" w:rsidRPr="006537A1">
        <w:noBreakHyphen/>
        <w:t>1310, the Veterans’ Trust Fund of South Carolina established pursuant to Chapter 21</w:t>
      </w:r>
      <w:r w:rsidR="0053482A" w:rsidRPr="006537A1">
        <w:rPr>
          <w:u w:val="single"/>
        </w:rPr>
        <w:t>,</w:t>
      </w:r>
      <w:r w:rsidR="0053482A" w:rsidRPr="006537A1">
        <w:t xml:space="preserve"> </w:t>
      </w:r>
      <w:r w:rsidR="0053482A" w:rsidRPr="006537A1">
        <w:rPr>
          <w:strike/>
        </w:rPr>
        <w:t>of</w:t>
      </w:r>
      <w:r w:rsidR="0053482A" w:rsidRPr="006537A1">
        <w:t xml:space="preserve"> Title 25, the South Carolina Litter Control Enforcement Program (SCLCEP) and used by the Governor’s Task Force on Litter only for the SCLCEP Program, the South Carolina Law Enforcement Assistance Program (SCLEAP) and used as provided in Section 23</w:t>
      </w:r>
      <w:r w:rsidR="0053482A" w:rsidRPr="006537A1">
        <w:noBreakHyphen/>
        <w:t>3</w:t>
      </w:r>
      <w:r w:rsidR="0053482A" w:rsidRPr="006537A1">
        <w:noBreakHyphen/>
        <w:t xml:space="preserve">65, the South Carolina Department of Parks, Recreation and Tourism for use in the South Carolina State Park Service in the manner the General Assembly provides, the </w:t>
      </w:r>
      <w:r w:rsidR="0053482A" w:rsidRPr="006537A1">
        <w:lastRenderedPageBreak/>
        <w:t>South Carolina Forestry Commission for use in the state forest system, the South Carolina Department of Natural Resources for use in its programs and operations, K</w:t>
      </w:r>
      <w:r w:rsidR="0053482A" w:rsidRPr="006537A1">
        <w:noBreakHyphen/>
        <w:t>12 public education for use in the manner the General Assembly provides by law, South Carolina Conservation Bank Trust Fund established pursuant to Section 48</w:t>
      </w:r>
      <w:r w:rsidR="0053482A" w:rsidRPr="006537A1">
        <w:noBreakHyphen/>
        <w:t>59</w:t>
      </w:r>
      <w:r w:rsidR="0053482A" w:rsidRPr="006537A1">
        <w:noBreakHyphen/>
        <w:t xml:space="preserve">60, </w:t>
      </w:r>
      <w:r w:rsidR="0053482A" w:rsidRPr="006537A1">
        <w:rPr>
          <w:strike/>
        </w:rPr>
        <w:t>or</w:t>
      </w:r>
      <w:r w:rsidR="0053482A" w:rsidRPr="006537A1">
        <w:t xml:space="preserve"> the Financial Literacy Trust Fund </w:t>
      </w:r>
      <w:r w:rsidR="0053482A" w:rsidRPr="006537A1">
        <w:rPr>
          <w:strike/>
        </w:rPr>
        <w:t>as</w:t>
      </w:r>
      <w:r w:rsidR="0053482A" w:rsidRPr="006537A1">
        <w:t xml:space="preserve"> established pursuant to Section 59</w:t>
      </w:r>
      <w:r w:rsidR="0053482A" w:rsidRPr="006537A1">
        <w:noBreakHyphen/>
        <w:t>29</w:t>
      </w:r>
      <w:r w:rsidR="0053482A" w:rsidRPr="006537A1">
        <w:noBreakHyphen/>
        <w:t xml:space="preserve">510, </w:t>
      </w:r>
      <w:r w:rsidR="0053482A" w:rsidRPr="006537A1">
        <w:rPr>
          <w:u w:val="single"/>
        </w:rPr>
        <w:t>or the South Carolina Association of Habitat for Humanity Affiliates,</w:t>
      </w:r>
      <w:r w:rsidR="0053482A" w:rsidRPr="006537A1">
        <w:t xml:space="preserve"> by designating the contribution on the return.  The contribution may be made by reducing the income tax refund or by remitting additional payment by the amount designated.”</w:t>
      </w: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2</w:t>
      </w:r>
      <w:r w:rsidRPr="00B04808">
        <w:t>.</w:t>
      </w:r>
      <w:r w:rsidRPr="00B04808">
        <w:tab/>
      </w:r>
      <w:r w:rsidRPr="00B04808">
        <w:rPr>
          <w:color w:val="000000" w:themeColor="text1"/>
        </w:rPr>
        <w:t>Section 12</w:t>
      </w:r>
      <w:r>
        <w:rPr>
          <w:color w:val="000000" w:themeColor="text1"/>
        </w:rPr>
        <w:noBreakHyphen/>
      </w:r>
      <w:r w:rsidRPr="00B04808">
        <w:rPr>
          <w:color w:val="000000" w:themeColor="text1"/>
        </w:rPr>
        <w:t>6</w:t>
      </w:r>
      <w:r>
        <w:rPr>
          <w:color w:val="000000" w:themeColor="text1"/>
        </w:rPr>
        <w:noBreakHyphen/>
      </w:r>
      <w:r w:rsidRPr="00B04808">
        <w:rPr>
          <w:color w:val="000000" w:themeColor="text1"/>
        </w:rPr>
        <w:t>3360(A) of the 1976 Code is amended to read:</w:t>
      </w: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04808">
        <w:rPr>
          <w:color w:val="000000" w:themeColor="text1"/>
        </w:rPr>
        <w:tab/>
        <w:t>“(A)</w:t>
      </w:r>
      <w:r w:rsidRPr="00B04808">
        <w:rPr>
          <w:color w:val="000000" w:themeColor="text1"/>
        </w:rPr>
        <w:tab/>
        <w:t xml:space="preserve">Taxpayers that operate manufacturing, tourism, processing, </w:t>
      </w:r>
      <w:r w:rsidRPr="00B04808">
        <w:rPr>
          <w:color w:val="000000" w:themeColor="text1"/>
          <w:u w:val="single" w:color="000000" w:themeColor="text1"/>
        </w:rPr>
        <w:t>agricultural packaging,</w:t>
      </w:r>
      <w:r w:rsidRPr="00B04808">
        <w:rPr>
          <w:color w:val="000000" w:themeColor="text1"/>
        </w:rPr>
        <w:t xml:space="preserve"> warehousing, distribution, research and development, corporate office, qualifying service</w:t>
      </w:r>
      <w:r>
        <w:rPr>
          <w:color w:val="000000" w:themeColor="text1"/>
        </w:rPr>
        <w:noBreakHyphen/>
      </w:r>
      <w:r w:rsidRPr="00B04808">
        <w:rPr>
          <w:color w:val="000000" w:themeColor="text1"/>
        </w:rPr>
        <w:t>related facilities, agribusiness operations, extraordinary retail establishment, and qualifying technology intensive facilities, and banks as defined pursuant to this title are allowed an annual jobs tax credit as provided in this section. In addition, taxpayers that operate retail facilities and service</w:t>
      </w:r>
      <w:r>
        <w:rPr>
          <w:color w:val="000000" w:themeColor="text1"/>
        </w:rPr>
        <w:noBreakHyphen/>
      </w:r>
      <w:r w:rsidRPr="00B04808">
        <w:rPr>
          <w:color w:val="000000" w:themeColor="text1"/>
        </w:rPr>
        <w:t>related industries qualify for an annual jobs tax credit in counties designated as ‘Tier IV’. As used in this section, ‘corporate office’ includes general contractors licensed by the South Carolina Department of Labor, Licensing and Regulation. Credits pursuant to this section may be claimed against income taxes imposed by Section 12</w:t>
      </w:r>
      <w:r>
        <w:rPr>
          <w:color w:val="000000" w:themeColor="text1"/>
        </w:rPr>
        <w:noBreakHyphen/>
      </w:r>
      <w:r w:rsidRPr="00B04808">
        <w:rPr>
          <w:color w:val="000000" w:themeColor="text1"/>
        </w:rPr>
        <w:t>6</w:t>
      </w:r>
      <w:r>
        <w:rPr>
          <w:color w:val="000000" w:themeColor="text1"/>
        </w:rPr>
        <w:noBreakHyphen/>
      </w:r>
      <w:r w:rsidRPr="00B04808">
        <w:rPr>
          <w:color w:val="000000" w:themeColor="text1"/>
        </w:rPr>
        <w:t>510 or 12</w:t>
      </w:r>
      <w:r>
        <w:rPr>
          <w:color w:val="000000" w:themeColor="text1"/>
        </w:rPr>
        <w:noBreakHyphen/>
      </w:r>
      <w:r w:rsidRPr="00B04808">
        <w:rPr>
          <w:color w:val="000000" w:themeColor="text1"/>
        </w:rPr>
        <w:t>6</w:t>
      </w:r>
      <w:r>
        <w:rPr>
          <w:color w:val="000000" w:themeColor="text1"/>
        </w:rPr>
        <w:noBreakHyphen/>
      </w:r>
      <w:r w:rsidRPr="00B04808">
        <w:rPr>
          <w:color w:val="000000" w:themeColor="text1"/>
        </w:rPr>
        <w:t>530, bank taxes imposed pursuant to Chapter 11 of this title, and insurance premium taxes imposed pursuant to Chapter 7, Title 38, and are limited in use to fifty percent of the taxpayer’s South Carolina income tax, bank tax, or insurance premium tax liability. In computing a tax payable by a taxpayer pursuant to Section 38</w:t>
      </w:r>
      <w:r>
        <w:rPr>
          <w:color w:val="000000" w:themeColor="text1"/>
        </w:rPr>
        <w:noBreakHyphen/>
      </w:r>
      <w:r w:rsidRPr="00B04808">
        <w:rPr>
          <w:color w:val="000000" w:themeColor="text1"/>
        </w:rPr>
        <w:t>7</w:t>
      </w:r>
      <w:r>
        <w:rPr>
          <w:color w:val="000000" w:themeColor="text1"/>
        </w:rPr>
        <w:noBreakHyphen/>
      </w:r>
      <w:r w:rsidRPr="00B04808">
        <w:rPr>
          <w:color w:val="000000" w:themeColor="text1"/>
        </w:rPr>
        <w:t>90, the credit allowable pursuant to this section must be treated as a premium tax paid pursuant to Section 38</w:t>
      </w:r>
      <w:r>
        <w:rPr>
          <w:color w:val="000000" w:themeColor="text1"/>
        </w:rPr>
        <w:noBreakHyphen/>
      </w:r>
      <w:r w:rsidRPr="00B04808">
        <w:rPr>
          <w:color w:val="000000" w:themeColor="text1"/>
        </w:rPr>
        <w:t>7</w:t>
      </w:r>
      <w:r>
        <w:rPr>
          <w:color w:val="000000" w:themeColor="text1"/>
        </w:rPr>
        <w:noBreakHyphen/>
      </w:r>
      <w:r w:rsidRPr="00B04808">
        <w:rPr>
          <w:color w:val="000000" w:themeColor="text1"/>
        </w:rPr>
        <w:t>20.”</w:t>
      </w: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sidRPr="00B04808">
        <w:rPr>
          <w:color w:val="000000" w:themeColor="text1"/>
        </w:rPr>
        <w:t>.</w:t>
      </w:r>
      <w:r w:rsidRPr="00B04808">
        <w:rPr>
          <w:color w:val="000000" w:themeColor="text1"/>
        </w:rPr>
        <w:tab/>
        <w:t>Section 12</w:t>
      </w:r>
      <w:r>
        <w:rPr>
          <w:color w:val="000000" w:themeColor="text1"/>
        </w:rPr>
        <w:noBreakHyphen/>
      </w:r>
      <w:r w:rsidRPr="00B04808">
        <w:rPr>
          <w:color w:val="000000" w:themeColor="text1"/>
        </w:rPr>
        <w:t>6</w:t>
      </w:r>
      <w:r>
        <w:rPr>
          <w:color w:val="000000" w:themeColor="text1"/>
        </w:rPr>
        <w:noBreakHyphen/>
      </w:r>
      <w:r w:rsidRPr="00B04808">
        <w:rPr>
          <w:color w:val="000000" w:themeColor="text1"/>
        </w:rPr>
        <w:t>3360(M)(4) of the 1976 Code is amended to read:</w:t>
      </w: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04808">
        <w:rPr>
          <w:color w:val="000000" w:themeColor="text1"/>
        </w:rPr>
        <w:tab/>
        <w:t>“(4)</w:t>
      </w:r>
      <w:r w:rsidRPr="00B04808">
        <w:rPr>
          <w:color w:val="000000" w:themeColor="text1"/>
        </w:rPr>
        <w:tab/>
        <w:t>‘Full</w:t>
      </w:r>
      <w:r>
        <w:rPr>
          <w:color w:val="000000" w:themeColor="text1"/>
        </w:rPr>
        <w:noBreakHyphen/>
      </w:r>
      <w:r w:rsidRPr="00B04808">
        <w:rPr>
          <w:color w:val="000000" w:themeColor="text1"/>
        </w:rPr>
        <w:t>time’ means a job requiring a minimum of thirty</w:t>
      </w:r>
      <w:r>
        <w:rPr>
          <w:color w:val="000000" w:themeColor="text1"/>
        </w:rPr>
        <w:noBreakHyphen/>
      </w:r>
      <w:r w:rsidRPr="00B04808">
        <w:rPr>
          <w:color w:val="000000" w:themeColor="text1"/>
        </w:rPr>
        <w:t>five hours of an employee’s time a week for the entire normal year of company operations or a job requiring a minimum of thirty</w:t>
      </w:r>
      <w:r>
        <w:rPr>
          <w:color w:val="000000" w:themeColor="text1"/>
        </w:rPr>
        <w:noBreakHyphen/>
      </w:r>
      <w:r w:rsidRPr="00B04808">
        <w:rPr>
          <w:color w:val="000000" w:themeColor="text1"/>
        </w:rPr>
        <w:t xml:space="preserve">five hours of an employee’s time for a week for a year in which the </w:t>
      </w:r>
      <w:r w:rsidRPr="00B04808">
        <w:rPr>
          <w:color w:val="000000" w:themeColor="text1"/>
        </w:rPr>
        <w:lastRenderedPageBreak/>
        <w:t>employee was hired initially for or transferred to the South Carolina facility. For the purposes of this section, two half</w:t>
      </w:r>
      <w:r>
        <w:rPr>
          <w:color w:val="000000" w:themeColor="text1"/>
        </w:rPr>
        <w:noBreakHyphen/>
      </w:r>
      <w:r w:rsidRPr="00B04808">
        <w:rPr>
          <w:color w:val="000000" w:themeColor="text1"/>
        </w:rPr>
        <w:t>time jobs are considered one full</w:t>
      </w:r>
      <w:r>
        <w:rPr>
          <w:color w:val="000000" w:themeColor="text1"/>
        </w:rPr>
        <w:noBreakHyphen/>
      </w:r>
      <w:r w:rsidRPr="00B04808">
        <w:rPr>
          <w:color w:val="000000" w:themeColor="text1"/>
        </w:rPr>
        <w:t>time job.  A ‘half</w:t>
      </w:r>
      <w:r>
        <w:rPr>
          <w:color w:val="000000" w:themeColor="text1"/>
        </w:rPr>
        <w:noBreakHyphen/>
      </w:r>
      <w:r w:rsidRPr="00B04808">
        <w:rPr>
          <w:color w:val="000000" w:themeColor="text1"/>
        </w:rPr>
        <w:t xml:space="preserve">time job’ is a job requiring a minimum of twenty hours of an employee’s time a week for the entire normal year of the company’s operations or a job requiring a minimum of twenty hours of an employee’s time a week for a year in which the employee was hired initially for or transferred to the South Carolina facility.  </w:t>
      </w:r>
      <w:r w:rsidRPr="00B04808">
        <w:rPr>
          <w:color w:val="000000" w:themeColor="text1"/>
          <w:u w:val="single" w:color="000000" w:themeColor="text1"/>
        </w:rPr>
        <w:t>For agricultural packaging and agribusiness operations, seasonal workers may be considered a full</w:t>
      </w:r>
      <w:r>
        <w:rPr>
          <w:color w:val="000000" w:themeColor="text1"/>
          <w:u w:val="single" w:color="000000" w:themeColor="text1"/>
        </w:rPr>
        <w:noBreakHyphen/>
      </w:r>
      <w:r w:rsidRPr="00B04808">
        <w:rPr>
          <w:color w:val="000000" w:themeColor="text1"/>
          <w:u w:val="single" w:color="000000" w:themeColor="text1"/>
        </w:rPr>
        <w:t>time employee; however, a seasonal employee only counts as a fraction of a full</w:t>
      </w:r>
      <w:r>
        <w:rPr>
          <w:color w:val="000000" w:themeColor="text1"/>
          <w:u w:val="single" w:color="000000" w:themeColor="text1"/>
        </w:rPr>
        <w:noBreakHyphen/>
      </w:r>
      <w:r w:rsidRPr="00B04808">
        <w:rPr>
          <w:color w:val="000000" w:themeColor="text1"/>
          <w:u w:val="single" w:color="000000" w:themeColor="text1"/>
        </w:rPr>
        <w:t>time worker, with the numerator being the number of hours worked a week multiplied by the number of weeks worked, and the denominator being the number one thousand eight hundred twenty.</w:t>
      </w:r>
      <w:r w:rsidRPr="00B04808">
        <w:rPr>
          <w:color w:val="000000" w:themeColor="text1"/>
        </w:rPr>
        <w:t>”</w:t>
      </w: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4</w:t>
      </w:r>
      <w:r w:rsidRPr="00B04808">
        <w:rPr>
          <w:color w:val="000000" w:themeColor="text1"/>
        </w:rPr>
        <w:t>.</w:t>
      </w:r>
      <w:r w:rsidRPr="00B04808">
        <w:rPr>
          <w:color w:val="000000" w:themeColor="text1"/>
        </w:rPr>
        <w:tab/>
        <w:t>Section 12</w:t>
      </w:r>
      <w:r>
        <w:rPr>
          <w:color w:val="000000" w:themeColor="text1"/>
        </w:rPr>
        <w:noBreakHyphen/>
      </w:r>
      <w:r w:rsidRPr="00B04808">
        <w:rPr>
          <w:color w:val="000000" w:themeColor="text1"/>
        </w:rPr>
        <w:t>6</w:t>
      </w:r>
      <w:r>
        <w:rPr>
          <w:color w:val="000000" w:themeColor="text1"/>
        </w:rPr>
        <w:noBreakHyphen/>
      </w:r>
      <w:r w:rsidRPr="00B04808">
        <w:rPr>
          <w:color w:val="000000" w:themeColor="text1"/>
        </w:rPr>
        <w:t>3360(M) of the 1976 Code is amended by adding an appropriately numbered item to read:</w:t>
      </w: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04808">
        <w:rPr>
          <w:color w:val="000000" w:themeColor="text1"/>
        </w:rPr>
        <w:tab/>
        <w:t>“(  )</w:t>
      </w:r>
      <w:r w:rsidRPr="00B04808">
        <w:rPr>
          <w:color w:val="000000" w:themeColor="text1"/>
        </w:rPr>
        <w:tab/>
        <w:t>‘Agricultural packaging’ means the technology of enclosing or protecting or preserving agricultural products for distribution, storage, sale, and use.  Packaging also refers to the process of design, evaluation, and production of packages used for agricultural products.  Packaging can be described as a coordinated system of preparing agricultural goods for transport, warehousing, logistics, sale and end use.”</w:t>
      </w: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5</w:t>
      </w:r>
      <w:r w:rsidRPr="00B04808">
        <w:rPr>
          <w:color w:val="000000" w:themeColor="text1"/>
        </w:rPr>
        <w:t>.</w:t>
      </w:r>
      <w:r w:rsidRPr="00B04808">
        <w:rPr>
          <w:color w:val="000000" w:themeColor="text1"/>
        </w:rPr>
        <w:tab/>
        <w:t>A.</w:t>
      </w:r>
      <w:r w:rsidRPr="00B04808">
        <w:rPr>
          <w:color w:val="000000" w:themeColor="text1"/>
        </w:rPr>
        <w:tab/>
        <w:t>Section 12</w:t>
      </w:r>
      <w:r>
        <w:rPr>
          <w:color w:val="000000" w:themeColor="text1"/>
        </w:rPr>
        <w:noBreakHyphen/>
      </w:r>
      <w:r w:rsidRPr="00B04808">
        <w:rPr>
          <w:color w:val="000000" w:themeColor="text1"/>
        </w:rPr>
        <w:t>36</w:t>
      </w:r>
      <w:r>
        <w:rPr>
          <w:color w:val="000000" w:themeColor="text1"/>
        </w:rPr>
        <w:noBreakHyphen/>
      </w:r>
      <w:r w:rsidRPr="00B04808">
        <w:rPr>
          <w:color w:val="000000" w:themeColor="text1"/>
        </w:rPr>
        <w:t>2120(17) of the 1976 Code is amended to read:</w:t>
      </w: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04808">
        <w:rPr>
          <w:color w:val="000000" w:themeColor="text1"/>
        </w:rPr>
        <w:tab/>
        <w:t>“(17)</w:t>
      </w:r>
      <w:r w:rsidRPr="00B04808">
        <w:rPr>
          <w:color w:val="000000" w:themeColor="text1"/>
        </w:rPr>
        <w:tab/>
        <w:t xml:space="preserve">machines used in manufacturing, processing, </w:t>
      </w:r>
      <w:r w:rsidRPr="00B04808">
        <w:rPr>
          <w:color w:val="000000" w:themeColor="text1"/>
          <w:u w:val="single" w:color="000000" w:themeColor="text1"/>
        </w:rPr>
        <w:t>agricultural packaging,</w:t>
      </w:r>
      <w:r w:rsidRPr="00B04808">
        <w:rPr>
          <w:color w:val="000000" w:themeColor="text1"/>
        </w:rPr>
        <w:t xml:space="preserve"> recycling, compounding, mining, or quarrying tangible personal property for sale. ‘Machines’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‘recycling’ means a process by which materials that otherwise would become solid waste are collected, separated, or processed and reused, or returned to use in the form of raw materials or products, including composting, for sale. In applying this exemption to machines used </w:t>
      </w:r>
      <w:r w:rsidRPr="00B04808">
        <w:rPr>
          <w:color w:val="000000" w:themeColor="text1"/>
        </w:rPr>
        <w:lastRenderedPageBreak/>
        <w:t>in recycling, the following percentage of the gross proceeds of sale, or sales price of, machines used in recycling are exempt from the taxes imposed by this chapter:</w:t>
      </w: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04808">
        <w:rPr>
          <w:color w:val="000000" w:themeColor="text1"/>
        </w:rPr>
        <w:t>Fiscal Year of Sale</w:t>
      </w:r>
      <w:r w:rsidRPr="00B04808">
        <w:rPr>
          <w:color w:val="000000" w:themeColor="text1"/>
        </w:rPr>
        <w:tab/>
      </w:r>
      <w:r w:rsidRPr="00B04808">
        <w:rPr>
          <w:color w:val="000000" w:themeColor="text1"/>
        </w:rPr>
        <w:tab/>
      </w:r>
      <w:r w:rsidRPr="00B04808">
        <w:rPr>
          <w:color w:val="000000" w:themeColor="text1"/>
        </w:rPr>
        <w:tab/>
      </w:r>
      <w:r w:rsidRPr="00B04808">
        <w:rPr>
          <w:color w:val="000000" w:themeColor="text1"/>
        </w:rPr>
        <w:tab/>
      </w:r>
      <w:r w:rsidRPr="00B04808">
        <w:rPr>
          <w:color w:val="000000" w:themeColor="text1"/>
        </w:rPr>
        <w:tab/>
      </w:r>
      <w:r w:rsidRPr="00B04808">
        <w:rPr>
          <w:color w:val="000000" w:themeColor="text1"/>
        </w:rPr>
        <w:tab/>
      </w:r>
      <w:r w:rsidRPr="00B04808">
        <w:rPr>
          <w:color w:val="000000" w:themeColor="text1"/>
        </w:rPr>
        <w:tab/>
      </w:r>
      <w:r w:rsidRPr="00B04808">
        <w:rPr>
          <w:color w:val="000000" w:themeColor="text1"/>
        </w:rPr>
        <w:tab/>
      </w:r>
      <w:r w:rsidRPr="00B04808">
        <w:rPr>
          <w:color w:val="000000" w:themeColor="text1"/>
        </w:rPr>
        <w:tab/>
      </w:r>
      <w:r w:rsidRPr="00B04808">
        <w:rPr>
          <w:color w:val="000000" w:themeColor="text1"/>
        </w:rPr>
        <w:tab/>
      </w:r>
      <w:r w:rsidRPr="00B04808">
        <w:rPr>
          <w:color w:val="000000" w:themeColor="text1"/>
        </w:rPr>
        <w:tab/>
        <w:t>Percentage</w:t>
      </w: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04808">
        <w:rPr>
          <w:color w:val="000000" w:themeColor="text1"/>
        </w:rPr>
        <w:t>Fiscal year 1997</w:t>
      </w:r>
      <w:r>
        <w:rPr>
          <w:color w:val="000000" w:themeColor="text1"/>
        </w:rPr>
        <w:noBreakHyphen/>
      </w:r>
      <w:r w:rsidRPr="00B04808">
        <w:rPr>
          <w:color w:val="000000" w:themeColor="text1"/>
        </w:rPr>
        <w:t>98</w:t>
      </w:r>
      <w:r w:rsidRPr="00B04808">
        <w:rPr>
          <w:color w:val="000000" w:themeColor="text1"/>
        </w:rPr>
        <w:tab/>
      </w:r>
      <w:r w:rsidRPr="00B04808">
        <w:rPr>
          <w:color w:val="000000" w:themeColor="text1"/>
        </w:rPr>
        <w:tab/>
      </w:r>
      <w:r w:rsidRPr="00B04808">
        <w:rPr>
          <w:color w:val="000000" w:themeColor="text1"/>
        </w:rPr>
        <w:tab/>
      </w:r>
      <w:r w:rsidRPr="00B04808">
        <w:rPr>
          <w:color w:val="000000" w:themeColor="text1"/>
        </w:rPr>
        <w:tab/>
      </w:r>
      <w:r w:rsidRPr="00B04808">
        <w:rPr>
          <w:color w:val="000000" w:themeColor="text1"/>
        </w:rPr>
        <w:tab/>
      </w:r>
      <w:r w:rsidRPr="00B04808">
        <w:rPr>
          <w:color w:val="000000" w:themeColor="text1"/>
        </w:rPr>
        <w:tab/>
      </w:r>
      <w:r w:rsidRPr="00B04808">
        <w:rPr>
          <w:color w:val="000000" w:themeColor="text1"/>
        </w:rPr>
        <w:tab/>
      </w:r>
      <w:r w:rsidRPr="00B04808">
        <w:rPr>
          <w:color w:val="000000" w:themeColor="text1"/>
        </w:rPr>
        <w:tab/>
      </w:r>
      <w:r w:rsidRPr="00B04808">
        <w:rPr>
          <w:color w:val="000000" w:themeColor="text1"/>
        </w:rPr>
        <w:tab/>
      </w:r>
      <w:r w:rsidRPr="00B04808">
        <w:rPr>
          <w:color w:val="000000" w:themeColor="text1"/>
        </w:rPr>
        <w:tab/>
        <w:t>fifty percent</w:t>
      </w: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04808">
        <w:rPr>
          <w:color w:val="000000" w:themeColor="text1"/>
        </w:rPr>
        <w:t>After June 30, 1998</w:t>
      </w:r>
      <w:r w:rsidRPr="00B04808">
        <w:rPr>
          <w:color w:val="000000" w:themeColor="text1"/>
        </w:rPr>
        <w:tab/>
      </w:r>
      <w:r w:rsidRPr="00B04808">
        <w:rPr>
          <w:color w:val="000000" w:themeColor="text1"/>
        </w:rPr>
        <w:tab/>
      </w:r>
      <w:r w:rsidRPr="00B04808">
        <w:rPr>
          <w:color w:val="000000" w:themeColor="text1"/>
        </w:rPr>
        <w:tab/>
      </w:r>
      <w:r w:rsidRPr="00B04808">
        <w:rPr>
          <w:color w:val="000000" w:themeColor="text1"/>
        </w:rPr>
        <w:tab/>
      </w:r>
      <w:r w:rsidRPr="00B04808">
        <w:rPr>
          <w:color w:val="000000" w:themeColor="text1"/>
        </w:rPr>
        <w:tab/>
      </w:r>
      <w:r w:rsidRPr="00B04808">
        <w:rPr>
          <w:color w:val="000000" w:themeColor="text1"/>
        </w:rPr>
        <w:tab/>
      </w:r>
      <w:r w:rsidRPr="00B04808">
        <w:rPr>
          <w:color w:val="000000" w:themeColor="text1"/>
        </w:rPr>
        <w:tab/>
      </w:r>
      <w:r w:rsidRPr="00B04808">
        <w:rPr>
          <w:color w:val="000000" w:themeColor="text1"/>
        </w:rPr>
        <w:tab/>
      </w:r>
      <w:r w:rsidRPr="00B04808">
        <w:rPr>
          <w:color w:val="000000" w:themeColor="text1"/>
        </w:rPr>
        <w:tab/>
      </w:r>
      <w:r w:rsidRPr="00B04808">
        <w:rPr>
          <w:color w:val="000000" w:themeColor="text1"/>
        </w:rPr>
        <w:tab/>
        <w:t>one hundred percent;”</w:t>
      </w: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04808">
        <w:rPr>
          <w:color w:val="000000" w:themeColor="text1"/>
        </w:rPr>
        <w:t>B.</w:t>
      </w:r>
      <w:r w:rsidRPr="00B04808">
        <w:rPr>
          <w:color w:val="000000" w:themeColor="text1"/>
        </w:rPr>
        <w:tab/>
        <w:t>This section takes effect July 1, 2016.</w:t>
      </w: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6</w:t>
      </w:r>
      <w:r w:rsidRPr="00B04808">
        <w:rPr>
          <w:color w:val="000000" w:themeColor="text1"/>
        </w:rPr>
        <w:t>.</w:t>
      </w:r>
      <w:r w:rsidRPr="00B04808">
        <w:rPr>
          <w:color w:val="000000" w:themeColor="text1"/>
        </w:rPr>
        <w:tab/>
        <w:t>Article 11, Chapter 1, Title 13 of the 1976 Code is amended by adding:</w:t>
      </w:r>
    </w:p>
    <w:p w:rsidR="002366BD" w:rsidRPr="00B04808"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366BD"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04808">
        <w:rPr>
          <w:color w:val="000000" w:themeColor="text1"/>
        </w:rPr>
        <w:tab/>
        <w:t>“Section 13</w:t>
      </w:r>
      <w:r>
        <w:rPr>
          <w:color w:val="000000" w:themeColor="text1"/>
        </w:rPr>
        <w:noBreakHyphen/>
      </w:r>
      <w:r w:rsidRPr="00B04808">
        <w:rPr>
          <w:color w:val="000000" w:themeColor="text1"/>
        </w:rPr>
        <w:t>1</w:t>
      </w:r>
      <w:r>
        <w:rPr>
          <w:color w:val="000000" w:themeColor="text1"/>
        </w:rPr>
        <w:noBreakHyphen/>
      </w:r>
      <w:r w:rsidRPr="00B04808">
        <w:rPr>
          <w:color w:val="000000" w:themeColor="text1"/>
        </w:rPr>
        <w:t>1780.</w:t>
      </w:r>
      <w:r w:rsidRPr="00B04808">
        <w:rPr>
          <w:color w:val="000000" w:themeColor="text1"/>
        </w:rPr>
        <w:tab/>
        <w:t>In awarding benefits for economic development projects, including awards from the Governor’s Closing Fund, the Department of Commerce and the coordinating council must consider agricultural businesses.  The Department of Commerce and the coordinating council must consider the number of jobs created, including full</w:t>
      </w:r>
      <w:r>
        <w:rPr>
          <w:color w:val="000000" w:themeColor="text1"/>
        </w:rPr>
        <w:noBreakHyphen/>
      </w:r>
      <w:r w:rsidRPr="00B04808">
        <w:rPr>
          <w:color w:val="000000" w:themeColor="text1"/>
        </w:rPr>
        <w:t>time, part</w:t>
      </w:r>
      <w:r>
        <w:rPr>
          <w:color w:val="000000" w:themeColor="text1"/>
        </w:rPr>
        <w:noBreakHyphen/>
      </w:r>
      <w:r w:rsidRPr="00B04808">
        <w:rPr>
          <w:color w:val="000000" w:themeColor="text1"/>
        </w:rPr>
        <w:t>time, and seasonal jobs, and the total investment made, including the cost of the real property.”</w:t>
      </w:r>
    </w:p>
    <w:p w:rsidR="002366BD"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2366BD" w:rsidRPr="003478FC"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FC">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3478FC">
        <w:rPr>
          <w:color w:val="000000" w:themeColor="text1"/>
          <w:u w:color="000000" w:themeColor="text1"/>
        </w:rPr>
        <w:t>A.</w:t>
      </w:r>
      <w:r>
        <w:rPr>
          <w:color w:val="000000" w:themeColor="text1"/>
          <w:u w:color="000000" w:themeColor="text1"/>
        </w:rPr>
        <w:tab/>
      </w:r>
      <w:r w:rsidRPr="003478FC">
        <w:rPr>
          <w:color w:val="000000" w:themeColor="text1"/>
          <w:u w:color="000000" w:themeColor="text1"/>
        </w:rPr>
        <w:t>Section 12</w:t>
      </w:r>
      <w:r>
        <w:rPr>
          <w:color w:val="000000" w:themeColor="text1"/>
          <w:u w:color="000000" w:themeColor="text1"/>
        </w:rPr>
        <w:noBreakHyphen/>
      </w:r>
      <w:r w:rsidRPr="003478FC">
        <w:rPr>
          <w:color w:val="000000" w:themeColor="text1"/>
          <w:u w:color="000000" w:themeColor="text1"/>
        </w:rPr>
        <w:t>6</w:t>
      </w:r>
      <w:r>
        <w:rPr>
          <w:color w:val="000000" w:themeColor="text1"/>
          <w:u w:color="000000" w:themeColor="text1"/>
        </w:rPr>
        <w:noBreakHyphen/>
      </w:r>
      <w:r w:rsidRPr="003478FC">
        <w:rPr>
          <w:color w:val="000000" w:themeColor="text1"/>
          <w:u w:color="000000" w:themeColor="text1"/>
        </w:rPr>
        <w:t xml:space="preserve">3750(A) of the 1976 Code is amended to read: </w:t>
      </w:r>
    </w:p>
    <w:p w:rsidR="002366BD" w:rsidRPr="003478FC"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66BD" w:rsidRPr="003478FC"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478FC">
        <w:rPr>
          <w:color w:val="000000" w:themeColor="text1"/>
          <w:u w:color="000000" w:themeColor="text1"/>
        </w:rPr>
        <w:t>“(A)</w:t>
      </w:r>
      <w:r>
        <w:rPr>
          <w:color w:val="000000" w:themeColor="text1"/>
          <w:u w:color="000000" w:themeColor="text1"/>
        </w:rPr>
        <w:tab/>
      </w:r>
      <w:r w:rsidRPr="00435101">
        <w:rPr>
          <w:strike/>
          <w:color w:val="000000" w:themeColor="text1"/>
          <w:u w:color="000000" w:themeColor="text1"/>
        </w:rPr>
        <w:t>Beginning with the year 2008,</w:t>
      </w:r>
      <w:r w:rsidRPr="003478FC">
        <w:rPr>
          <w:color w:val="000000" w:themeColor="text1"/>
          <w:u w:color="000000" w:themeColor="text1"/>
        </w:rPr>
        <w:t xml:space="preserve"> There </w:t>
      </w:r>
      <w:r w:rsidRPr="00A57AE3">
        <w:rPr>
          <w:strike/>
          <w:color w:val="000000" w:themeColor="text1"/>
          <w:u w:color="000000" w:themeColor="text1"/>
        </w:rPr>
        <w:t>shall be</w:t>
      </w:r>
      <w:r w:rsidRPr="003478FC">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3478FC">
        <w:rPr>
          <w:color w:val="000000" w:themeColor="text1"/>
          <w:u w:color="000000" w:themeColor="text1"/>
        </w:rPr>
        <w:t xml:space="preserve">allowed a nonrefundable credit against taxes imposed by this chapter for a meat packer, butcher, or processing plant licensed or permitted by this State or the United States Department of Agriculture that, during the tax year for which the credit is claimed, had a valid contract with any nonprofit organization to process deer for donation to any charitable organization engaged in distributing food to the needy. </w:t>
      </w:r>
      <w:r>
        <w:rPr>
          <w:color w:val="000000" w:themeColor="text1"/>
          <w:u w:color="000000" w:themeColor="text1"/>
        </w:rPr>
        <w:t xml:space="preserve"> </w:t>
      </w:r>
      <w:r w:rsidRPr="003478FC">
        <w:rPr>
          <w:color w:val="000000" w:themeColor="text1"/>
          <w:u w:color="000000" w:themeColor="text1"/>
        </w:rPr>
        <w:t xml:space="preserve">No portion of the donated deer </w:t>
      </w:r>
      <w:r w:rsidRPr="00A57AE3">
        <w:rPr>
          <w:strike/>
          <w:color w:val="000000" w:themeColor="text1"/>
          <w:u w:color="000000" w:themeColor="text1"/>
        </w:rPr>
        <w:t>shall</w:t>
      </w:r>
      <w:r w:rsidRPr="003478FC">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w:t>
      </w:r>
      <w:r w:rsidRPr="003478FC">
        <w:rPr>
          <w:color w:val="000000" w:themeColor="text1"/>
          <w:u w:color="000000" w:themeColor="text1"/>
        </w:rPr>
        <w:t xml:space="preserve">be used by a commercial enterprise. </w:t>
      </w:r>
      <w:r>
        <w:rPr>
          <w:color w:val="000000" w:themeColor="text1"/>
          <w:u w:color="000000" w:themeColor="text1"/>
        </w:rPr>
        <w:t xml:space="preserve"> </w:t>
      </w:r>
      <w:r w:rsidRPr="003478FC">
        <w:rPr>
          <w:color w:val="000000" w:themeColor="text1"/>
          <w:u w:color="000000" w:themeColor="text1"/>
        </w:rPr>
        <w:t xml:space="preserve">The amount of the credit </w:t>
      </w:r>
      <w:r w:rsidRPr="00A57AE3">
        <w:rPr>
          <w:strike/>
          <w:color w:val="000000" w:themeColor="text1"/>
          <w:u w:color="000000" w:themeColor="text1"/>
        </w:rPr>
        <w:t>shall be fifty</w:t>
      </w:r>
      <w:r w:rsidRPr="003478FC">
        <w:rPr>
          <w:color w:val="000000" w:themeColor="text1"/>
          <w:u w:color="000000" w:themeColor="text1"/>
        </w:rPr>
        <w:t xml:space="preserve"> </w:t>
      </w:r>
      <w:r>
        <w:rPr>
          <w:color w:val="000000" w:themeColor="text1"/>
          <w:u w:val="single" w:color="000000" w:themeColor="text1"/>
        </w:rPr>
        <w:t>is</w:t>
      </w:r>
      <w:r w:rsidRPr="00A57AE3">
        <w:rPr>
          <w:color w:val="000000" w:themeColor="text1"/>
          <w:u w:val="single" w:color="000000" w:themeColor="text1"/>
        </w:rPr>
        <w:t xml:space="preserve"> s</w:t>
      </w:r>
      <w:r w:rsidRPr="003478FC">
        <w:rPr>
          <w:color w:val="000000" w:themeColor="text1"/>
          <w:u w:val="single" w:color="000000" w:themeColor="text1"/>
        </w:rPr>
        <w:t>eventy</w:t>
      </w:r>
      <w:r>
        <w:rPr>
          <w:color w:val="000000" w:themeColor="text1"/>
          <w:u w:val="single" w:color="000000" w:themeColor="text1"/>
        </w:rPr>
        <w:noBreakHyphen/>
      </w:r>
      <w:r w:rsidRPr="003478FC">
        <w:rPr>
          <w:color w:val="000000" w:themeColor="text1"/>
          <w:u w:val="single" w:color="000000" w:themeColor="text1"/>
        </w:rPr>
        <w:t>five</w:t>
      </w:r>
      <w:r w:rsidRPr="003478FC">
        <w:rPr>
          <w:color w:val="000000" w:themeColor="text1"/>
          <w:u w:color="000000" w:themeColor="text1"/>
        </w:rPr>
        <w:t xml:space="preserve"> dollars for each carcass processed and donated. </w:t>
      </w:r>
      <w:r>
        <w:rPr>
          <w:color w:val="000000" w:themeColor="text1"/>
          <w:u w:color="000000" w:themeColor="text1"/>
        </w:rPr>
        <w:t xml:space="preserve"> </w:t>
      </w:r>
      <w:r w:rsidRPr="003478FC">
        <w:rPr>
          <w:color w:val="000000" w:themeColor="text1"/>
          <w:u w:color="000000" w:themeColor="text1"/>
        </w:rPr>
        <w:t>The credit must be claimed in the year earned and may not be carried to any other taxable year.”</w:t>
      </w:r>
    </w:p>
    <w:p w:rsidR="002366BD" w:rsidRPr="003478FC"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66BD"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3478FC">
        <w:rPr>
          <w:color w:val="000000" w:themeColor="text1"/>
          <w:u w:color="000000" w:themeColor="text1"/>
        </w:rPr>
        <w:t>B.</w:t>
      </w:r>
      <w:r>
        <w:rPr>
          <w:color w:val="000000" w:themeColor="text1"/>
          <w:u w:color="000000" w:themeColor="text1"/>
        </w:rPr>
        <w:tab/>
      </w:r>
      <w:r w:rsidRPr="003478FC">
        <w:rPr>
          <w:color w:val="000000" w:themeColor="text1"/>
          <w:u w:color="000000" w:themeColor="text1"/>
        </w:rPr>
        <w:t>This section applies to income tax years beginning after 2015.</w:t>
      </w:r>
    </w:p>
    <w:p w:rsidR="002366BD" w:rsidRDefault="002366BD"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636064" w:rsidRDefault="00636064" w:rsidP="002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66BD">
        <w:t>8</w:t>
      </w:r>
      <w:r>
        <w:t>.</w:t>
      </w:r>
      <w:r>
        <w:tab/>
        <w:t>This act takes effect upon approval by the Governor.</w:t>
      </w:r>
    </w:p>
    <w:p w:rsidR="00774A60" w:rsidRDefault="00837FEB" w:rsidP="00774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74A60" w:rsidSect="00E837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064" w:rsidRDefault="00636064" w:rsidP="009F0C77">
      <w:r>
        <w:separator/>
      </w:r>
    </w:p>
  </w:endnote>
  <w:endnote w:type="continuationSeparator" w:id="0">
    <w:p w:rsidR="00636064" w:rsidRDefault="006360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392966-4F38-4527-9423-6CF756F127F4}"/>
    <w:embedBold r:id="rId2" w:fontKey="{FD80D5CF-0F5F-4505-97A4-F7789A382F85}"/>
  </w:font>
  <w:font w:name="Calibri">
    <w:panose1 w:val="020F0502020204030204"/>
    <w:charset w:val="00"/>
    <w:family w:val="swiss"/>
    <w:pitch w:val="variable"/>
    <w:sig w:usb0="E00002FF" w:usb1="4000ACFF" w:usb2="00000001" w:usb3="00000000" w:csb0="0000019F" w:csb1="00000000"/>
    <w:embedRegular r:id="rId3" w:fontKey="{8A63980A-E212-4C7F-926D-DDED0CA06029}"/>
  </w:font>
  <w:font w:name="Cambria">
    <w:panose1 w:val="02040503050406030204"/>
    <w:charset w:val="00"/>
    <w:family w:val="roman"/>
    <w:pitch w:val="variable"/>
    <w:sig w:usb0="E00002FF" w:usb1="400004FF" w:usb2="00000000" w:usb3="00000000" w:csb0="0000019F" w:csb1="00000000"/>
    <w:embedRegular r:id="rId4" w:fontKey="{BFBD02D2-3116-43B4-AB52-DB2C03221977}"/>
  </w:font>
  <w:font w:name="Segoe UI">
    <w:panose1 w:val="020B0502040204020203"/>
    <w:charset w:val="00"/>
    <w:family w:val="swiss"/>
    <w:pitch w:val="variable"/>
    <w:sig w:usb0="E10022FF" w:usb1="C000E47F" w:usb2="00000029" w:usb3="00000000" w:csb0="000001DF" w:csb1="00000000"/>
    <w:embedRegular r:id="rId5" w:fontKey="{E588F929-403B-46BC-B79E-42BEFF1D13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07E" w:rsidRPr="004A3922" w:rsidRDefault="004A3922" w:rsidP="004A3922">
    <w:pPr>
      <w:pStyle w:val="Footer"/>
      <w:tabs>
        <w:tab w:val="clear" w:pos="4680"/>
        <w:tab w:val="clear" w:pos="9360"/>
        <w:tab w:val="center" w:pos="2995"/>
      </w:tabs>
      <w:spacing w:before="120"/>
    </w:pPr>
    <w:r>
      <w:t>[4765</w:t>
    </w:r>
    <w:r w:rsidR="00E8374E">
      <w:t>-</w:t>
    </w:r>
    <w:r w:rsidR="00E8374E">
      <w:fldChar w:fldCharType="begin"/>
    </w:r>
    <w:r w:rsidR="00E8374E">
      <w:instrText xml:space="preserve"> PAGE  \* MERGEFORMAT </w:instrText>
    </w:r>
    <w:r w:rsidR="00E8374E">
      <w:fldChar w:fldCharType="separate"/>
    </w:r>
    <w:r w:rsidR="00774A60">
      <w:rPr>
        <w:noProof/>
      </w:rPr>
      <w:t>1</w:t>
    </w:r>
    <w:r w:rsidR="00E8374E">
      <w:fldChar w:fldCharType="end"/>
    </w:r>
    <w:r w:rsidR="00E837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74E" w:rsidRPr="004A3922" w:rsidRDefault="00E8374E" w:rsidP="004A3922">
    <w:pPr>
      <w:pStyle w:val="Footer"/>
      <w:tabs>
        <w:tab w:val="clear" w:pos="4680"/>
        <w:tab w:val="clear" w:pos="9360"/>
        <w:tab w:val="center" w:pos="2995"/>
      </w:tabs>
      <w:spacing w:before="120"/>
    </w:pPr>
    <w:r>
      <w:t>[4765]</w:t>
    </w:r>
    <w:r>
      <w:tab/>
    </w:r>
    <w:r>
      <w:fldChar w:fldCharType="begin"/>
    </w:r>
    <w:r>
      <w:instrText xml:space="preserve"> PAGE  \* MERGEFORMAT </w:instrText>
    </w:r>
    <w:r>
      <w:fldChar w:fldCharType="separate"/>
    </w:r>
    <w:r w:rsidR="00774A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064" w:rsidRDefault="00636064" w:rsidP="009F0C77">
      <w:r>
        <w:separator/>
      </w:r>
    </w:p>
  </w:footnote>
  <w:footnote w:type="continuationSeparator" w:id="0">
    <w:p w:rsidR="00636064" w:rsidRDefault="006360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5SA16"/>
    <w:docVar w:name="CoverBillType" w:val="b"/>
    <w:docVar w:name="docpath" w:val="L:\Council\bills\DKA\3155SA16.DOCX"/>
    <w:docVar w:name="dvBillNumber" w:val="4765"/>
    <w:docVar w:name="dvBillNumberPrefix" w:val="H. "/>
    <w:docVar w:name="dvOriginalBody" w:val="House"/>
    <w:docVar w:name="dvSteno" w:val="DKA"/>
    <w:docVar w:name="NameofBody" w:val="h"/>
    <w:docVar w:name="vgroup2" w:val="Council"/>
  </w:docVars>
  <w:rsids>
    <w:rsidRoot w:val="00636064"/>
    <w:rsid w:val="00011869"/>
    <w:rsid w:val="00015CD6"/>
    <w:rsid w:val="000632A0"/>
    <w:rsid w:val="000D107E"/>
    <w:rsid w:val="000E1785"/>
    <w:rsid w:val="000F40FA"/>
    <w:rsid w:val="0010776B"/>
    <w:rsid w:val="00133E66"/>
    <w:rsid w:val="001435A3"/>
    <w:rsid w:val="00145D15"/>
    <w:rsid w:val="00146ED3"/>
    <w:rsid w:val="00151044"/>
    <w:rsid w:val="00167B66"/>
    <w:rsid w:val="001D08F2"/>
    <w:rsid w:val="001D525B"/>
    <w:rsid w:val="001D7F4F"/>
    <w:rsid w:val="00205238"/>
    <w:rsid w:val="002321B6"/>
    <w:rsid w:val="002366BD"/>
    <w:rsid w:val="00250967"/>
    <w:rsid w:val="002543C8"/>
    <w:rsid w:val="0025541D"/>
    <w:rsid w:val="00284AAE"/>
    <w:rsid w:val="002E5912"/>
    <w:rsid w:val="00301B21"/>
    <w:rsid w:val="00325348"/>
    <w:rsid w:val="0032732C"/>
    <w:rsid w:val="00336AD0"/>
    <w:rsid w:val="0037079A"/>
    <w:rsid w:val="003A7C0B"/>
    <w:rsid w:val="003C4DAB"/>
    <w:rsid w:val="003D01E8"/>
    <w:rsid w:val="003E5288"/>
    <w:rsid w:val="003F6D79"/>
    <w:rsid w:val="0041760A"/>
    <w:rsid w:val="00417C01"/>
    <w:rsid w:val="004403BD"/>
    <w:rsid w:val="00461441"/>
    <w:rsid w:val="004809EE"/>
    <w:rsid w:val="004A3922"/>
    <w:rsid w:val="004E7D54"/>
    <w:rsid w:val="005273C6"/>
    <w:rsid w:val="00530A69"/>
    <w:rsid w:val="0053482A"/>
    <w:rsid w:val="00545593"/>
    <w:rsid w:val="00576DBD"/>
    <w:rsid w:val="00577C6C"/>
    <w:rsid w:val="005C2FE2"/>
    <w:rsid w:val="005E2BC9"/>
    <w:rsid w:val="00605102"/>
    <w:rsid w:val="006215AA"/>
    <w:rsid w:val="00636064"/>
    <w:rsid w:val="006913C9"/>
    <w:rsid w:val="0069470D"/>
    <w:rsid w:val="00734F00"/>
    <w:rsid w:val="00774A60"/>
    <w:rsid w:val="00775A97"/>
    <w:rsid w:val="007A70AE"/>
    <w:rsid w:val="008362E8"/>
    <w:rsid w:val="00837FEB"/>
    <w:rsid w:val="0086722D"/>
    <w:rsid w:val="008A1768"/>
    <w:rsid w:val="008F0F33"/>
    <w:rsid w:val="008F4429"/>
    <w:rsid w:val="0094021A"/>
    <w:rsid w:val="009A1921"/>
    <w:rsid w:val="009B44AF"/>
    <w:rsid w:val="009C6A0B"/>
    <w:rsid w:val="009D2B07"/>
    <w:rsid w:val="009F0C77"/>
    <w:rsid w:val="009F4DD1"/>
    <w:rsid w:val="00A41684"/>
    <w:rsid w:val="00A64E80"/>
    <w:rsid w:val="00A72BCD"/>
    <w:rsid w:val="00A741D9"/>
    <w:rsid w:val="00A833AB"/>
    <w:rsid w:val="00A9741D"/>
    <w:rsid w:val="00AB0DD7"/>
    <w:rsid w:val="00AD4B17"/>
    <w:rsid w:val="00B412D4"/>
    <w:rsid w:val="00BE3C22"/>
    <w:rsid w:val="00C0345E"/>
    <w:rsid w:val="00C3483A"/>
    <w:rsid w:val="00C74E9D"/>
    <w:rsid w:val="00C82FD3"/>
    <w:rsid w:val="00C92819"/>
    <w:rsid w:val="00CB27AC"/>
    <w:rsid w:val="00CC6B7B"/>
    <w:rsid w:val="00CD2089"/>
    <w:rsid w:val="00D73A67"/>
    <w:rsid w:val="00D970A9"/>
    <w:rsid w:val="00DE44D1"/>
    <w:rsid w:val="00DF3845"/>
    <w:rsid w:val="00E41911"/>
    <w:rsid w:val="00E8374E"/>
    <w:rsid w:val="00E92EEF"/>
    <w:rsid w:val="00EF2368"/>
    <w:rsid w:val="00EF366A"/>
    <w:rsid w:val="00F24442"/>
    <w:rsid w:val="00F50AE3"/>
    <w:rsid w:val="00F656BA"/>
    <w:rsid w:val="00F67CF1"/>
    <w:rsid w:val="00F7469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4DD221-8E3D-4E1B-A298-E7E19EC5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AB0DD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36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66A"/>
    <w:rPr>
      <w:rFonts w:ascii="Segoe UI" w:eastAsia="Times New Roman" w:hAnsi="Segoe UI" w:cs="Segoe UI"/>
      <w:sz w:val="18"/>
      <w:szCs w:val="18"/>
    </w:rPr>
  </w:style>
  <w:style w:type="paragraph" w:styleId="NoSpacing">
    <w:name w:val="No Spacing"/>
    <w:uiPriority w:val="1"/>
    <w:qFormat/>
    <w:rsid w:val="0053482A"/>
    <w:pPr>
      <w:spacing w:after="0" w:line="240" w:lineRule="auto"/>
    </w:pPr>
    <w:rPr>
      <w:sz w:val="24"/>
    </w:rPr>
  </w:style>
  <w:style w:type="character" w:customStyle="1" w:styleId="Heading2Char">
    <w:name w:val="Heading 2 Char"/>
    <w:basedOn w:val="DefaultParagraphFont"/>
    <w:link w:val="Heading2"/>
    <w:uiPriority w:val="9"/>
    <w:semiHidden/>
    <w:rsid w:val="00AB0DD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2F045-80C7-40DC-BFBE-D73B896E0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8289E061.dotm</Template>
  <TotalTime>0</TotalTime>
  <Pages>5</Pages>
  <Words>1357</Words>
  <Characters>7336</Characters>
  <Application>Microsoft Office Word</Application>
  <DocSecurity>0</DocSecurity>
  <Lines>190</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4765 Text of Previous Version (May 24, 2016) - South Carolina Legislature Online</dc:title>
  <dc:creator>sharonpair</dc:creator>
  <cp:lastModifiedBy>Brent Walling</cp:lastModifiedBy>
  <cp:revision>2</cp:revision>
  <cp:lastPrinted>2016-01-21T14:32:00Z</cp:lastPrinted>
  <dcterms:created xsi:type="dcterms:W3CDTF">2016-05-24T21:17:00Z</dcterms:created>
  <dcterms:modified xsi:type="dcterms:W3CDTF">2016-05-24T21:17:00Z</dcterms:modified>
</cp:coreProperties>
</file>