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A5ABD" w:rsidRP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612" w:rsidRDefault="00B87612" w:rsidP="006A5ABD">
      <w:pPr>
        <w:tabs>
          <w:tab w:val="right" w:pos="5933"/>
        </w:tabs>
        <w:suppressAutoHyphens/>
        <w:jc w:val="both"/>
        <w:rPr>
          <w:rFonts w:eastAsia="Times New Roman"/>
        </w:rPr>
      </w:pPr>
      <w:r>
        <w:rPr>
          <w:rFonts w:eastAsia="Times New Roman"/>
        </w:rPr>
        <w:t>AS PASSED BY THE SENATE</w:t>
      </w:r>
    </w:p>
    <w:p w:rsidR="00B87612" w:rsidRDefault="00B87612" w:rsidP="006A5ABD">
      <w:pPr>
        <w:tabs>
          <w:tab w:val="right" w:pos="5933"/>
        </w:tabs>
        <w:suppressAutoHyphens/>
        <w:jc w:val="both"/>
        <w:rPr>
          <w:rFonts w:eastAsia="Times New Roman"/>
        </w:rPr>
      </w:pPr>
      <w:r>
        <w:rPr>
          <w:rFonts w:eastAsia="Times New Roman"/>
        </w:rPr>
        <w:t>April 14, 2015</w:t>
      </w:r>
    </w:p>
    <w:p w:rsidR="00B87612" w:rsidRDefault="00B87612" w:rsidP="006A5ABD">
      <w:pPr>
        <w:tabs>
          <w:tab w:val="right" w:pos="5933"/>
        </w:tabs>
        <w:suppressAutoHyphens/>
        <w:jc w:val="both"/>
        <w:rPr>
          <w:rFonts w:eastAsia="Times New Roman"/>
        </w:rPr>
      </w:pPr>
    </w:p>
    <w:p w:rsidR="006A5ABD" w:rsidRPr="006A5ABD" w:rsidRDefault="006A5ABD" w:rsidP="006A5ABD">
      <w:pPr>
        <w:tabs>
          <w:tab w:val="right" w:pos="5933"/>
        </w:tabs>
        <w:suppressAutoHyphens/>
        <w:jc w:val="both"/>
        <w:rPr>
          <w:rFonts w:eastAsia="Times New Roman"/>
        </w:rPr>
      </w:pPr>
      <w:r>
        <w:rPr>
          <w:rFonts w:eastAsia="Times New Roman"/>
        </w:rPr>
        <w:tab/>
      </w:r>
      <w:r>
        <w:rPr>
          <w:rFonts w:eastAsia="Times New Roman"/>
          <w:b/>
          <w:sz w:val="36"/>
        </w:rPr>
        <w:t>S. 590</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ABD" w:rsidRDefault="006A5ABD" w:rsidP="006A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2F1F">
        <w:t>Senators L. Martin and Hutto</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5ABD" w:rsidRDefault="006A5ABD" w:rsidP="00E57EF7">
      <w:pPr>
        <w:tabs>
          <w:tab w:val="right" w:pos="5933"/>
        </w:tabs>
        <w:suppressAutoHyphens/>
        <w:jc w:val="both"/>
        <w:rPr>
          <w:rFonts w:eastAsia="Times New Roman"/>
        </w:rPr>
      </w:pPr>
      <w:r>
        <w:rPr>
          <w:rFonts w:eastAsia="Times New Roman"/>
        </w:rPr>
        <w:t>S. Printed 4/1</w:t>
      </w:r>
      <w:r w:rsidR="00B87612">
        <w:rPr>
          <w:rFonts w:eastAsia="Times New Roman"/>
        </w:rPr>
        <w:t>4</w:t>
      </w:r>
      <w:r>
        <w:rPr>
          <w:rFonts w:eastAsia="Times New Roman"/>
        </w:rPr>
        <w:t>/15--S.</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rsidR="006A5ABD" w:rsidRDefault="006A5ABD"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5ABD" w:rsidRDefault="006A5A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A5ABD" w:rsidSect="006A5A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548" w:rsidRDefault="007A3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22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8B6ACE"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B6ACE">
        <w:rPr>
          <w:rFonts w:eastAsia="Times New Roman"/>
          <w:color w:val="000000" w:themeColor="text1"/>
          <w:u w:color="000000" w:themeColor="text1"/>
        </w:rPr>
        <w:t>TO AMEND SECTIONS 56</w:t>
      </w:r>
      <w:r w:rsidRPr="008B6ACE">
        <w:rPr>
          <w:rFonts w:eastAsia="Times New Roman"/>
          <w:color w:val="000000" w:themeColor="text1"/>
          <w:u w:color="000000" w:themeColor="text1"/>
        </w:rPr>
        <w:noBreakHyphen/>
        <w:t>1</w:t>
      </w:r>
      <w:r w:rsidRPr="008B6ACE">
        <w:rPr>
          <w:rFonts w:eastAsia="Times New Roman"/>
          <w:color w:val="000000" w:themeColor="text1"/>
          <w:u w:color="000000" w:themeColor="text1"/>
        </w:rPr>
        <w:noBreakHyphen/>
        <w:t>400(B) AND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2941(L), CODE OF LAWS OF SOUTH CAROLINA, 1976, RELATING TO IGNITION INTERLOCK DEVICES, SO AS TO PROVIDE THAT THE EMPLOYER’S VEHICLE WAIVER DOES NOT APPLY TO A PERSON CONVICTED OF A SECOND OR SUBSEQUENT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 AND TO AMEND SECTION 29</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2990(B), CODE OF LAWS OF SOUTH CAROLINA, 1976, RELATING TO THE SUSPENSION OF A PERSON’S DRIVER’S LICENSE FOR A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OR A LAW OF ANOTHER STATE THAT PROHIBITS A PERSON FROM DRIVING A MOTOR VEHICLE WHILE UNDER THE INFLUENCE OF ALCOHOL OR OTHER DRUGS, SO AS TO PROVIDE THAT ENTRY INTO AN ALCOHOL AND DRUG SAFETY ACTION PROGRAM’S SERVICES, IF THE SERVICES ARE NECESSARY, IS A MANDATORY REQUIREMENT FOR THE ISSUANCE OF AN IGNITION INTERLOCK RESTRICTED LICENSE.</w:t>
      </w:r>
      <w:bookmarkEnd w:id="1"/>
    </w:p>
    <w:p w:rsidR="00522CE0" w:rsidRDefault="005B5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B5A59" w:rsidRDefault="005B5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lastRenderedPageBreak/>
        <w:t>SECTION</w:t>
      </w:r>
      <w:r w:rsidRPr="002F6BA4">
        <w:rPr>
          <w:rFonts w:eastAsia="Times New Roman"/>
          <w:color w:val="000000" w:themeColor="text1"/>
          <w:u w:color="000000" w:themeColor="text1"/>
        </w:rPr>
        <w:tab/>
        <w:t>1.</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1</w:t>
      </w:r>
      <w:r w:rsidRPr="002F6BA4">
        <w:rPr>
          <w:rFonts w:eastAsia="Times New Roman"/>
          <w:color w:val="000000" w:themeColor="text1"/>
          <w:u w:color="000000" w:themeColor="text1"/>
        </w:rPr>
        <w:noBreakHyphen/>
        <w:t>400(B)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(B)(1)</w:t>
      </w:r>
      <w:r w:rsidR="00E57EF7">
        <w:rPr>
          <w:color w:val="000000" w:themeColor="text1"/>
          <w:u w:color="000000" w:themeColor="text1"/>
        </w:rPr>
        <w:tab/>
      </w:r>
      <w:r w:rsidRPr="002F6BA4">
        <w:rPr>
          <w:color w:val="000000" w:themeColor="text1"/>
          <w:u w:color="000000" w:themeColor="text1"/>
        </w:rPr>
        <w:tab/>
        <w:t>A person who does not own a vehicle, as shown in the Department of Motor Vehicles’ records, and who certifies that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cannot obtain a vehicle owner’s permission to have an ignition interlock device installed on a vehicle;</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will not be driving a vehicle other than a vehicle owned by the person’s employer;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will not own a vehicle during the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(2)</w:t>
      </w:r>
      <w:r w:rsidRPr="002F6BA4">
        <w:rPr>
          <w:color w:val="000000" w:themeColor="text1"/>
          <w:u w:color="000000" w:themeColor="text1"/>
        </w:rPr>
        <w:tab/>
        <w:t>The form must contain: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identifying information about the employer’s noncommercial vehicles that the person will be operating;</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a statement that explains the circumstances in which the person will be operating the employer’s vehicles;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the notarized signature of the person’s employer.</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(3)</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w:t>
      </w:r>
      <w:r w:rsidRPr="002F6BA4">
        <w:rPr>
          <w:color w:val="000000" w:themeColor="text1"/>
          <w:u w:color="000000" w:themeColor="text1"/>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(4)</w:t>
      </w:r>
      <w:r w:rsidRPr="002F6BA4">
        <w:rPr>
          <w:color w:val="000000" w:themeColor="text1"/>
          <w:u w:color="000000" w:themeColor="text1"/>
        </w:rPr>
        <w:tab/>
        <w:t>Whenever the person operates the employer’s vehicle pursuant to this subsection, the person shall have with the person a copy of the form specified by this subsection.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color w:val="000000" w:themeColor="text1"/>
          <w:u w:color="000000" w:themeColor="text1"/>
        </w:rPr>
        <w:lastRenderedPageBreak/>
        <w:tab/>
      </w:r>
      <w:r w:rsidRPr="002F6BA4">
        <w:rPr>
          <w:color w:val="000000" w:themeColor="text1"/>
          <w:u w:color="000000" w:themeColor="text1"/>
        </w:rPr>
        <w:tab/>
        <w:t>(5)</w:t>
      </w:r>
      <w:r w:rsidRPr="002F6BA4">
        <w:rPr>
          <w:color w:val="000000" w:themeColor="text1"/>
          <w:u w:color="000000" w:themeColor="text1"/>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t>SECTION</w:t>
      </w:r>
      <w:r w:rsidRPr="002F6BA4">
        <w:rPr>
          <w:rFonts w:eastAsia="Times New Roman"/>
          <w:color w:val="000000" w:themeColor="text1"/>
          <w:u w:color="000000" w:themeColor="text1"/>
        </w:rPr>
        <w:tab/>
        <w:t>2.</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5</w:t>
      </w:r>
      <w:r w:rsidRPr="002F6BA4">
        <w:rPr>
          <w:rFonts w:eastAsia="Times New Roman"/>
          <w:color w:val="000000" w:themeColor="text1"/>
          <w:u w:color="000000" w:themeColor="text1"/>
        </w:rPr>
        <w:noBreakHyphen/>
        <w:t>2941(L)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(L)(1)</w:t>
      </w:r>
      <w:r w:rsidRPr="002F6BA4">
        <w:rPr>
          <w:color w:val="000000" w:themeColor="text1"/>
          <w:u w:color="000000" w:themeColor="text1"/>
        </w:rPr>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(2)</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 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strike/>
          <w:color w:val="000000" w:themeColor="text1"/>
          <w:u w:color="000000" w:themeColor="text1"/>
        </w:rPr>
        <w:t>(2)</w:t>
      </w:r>
      <w:r w:rsidRPr="002F6BA4">
        <w:rPr>
          <w:color w:val="000000" w:themeColor="text1"/>
          <w:u w:val="single" w:color="000000" w:themeColor="text1"/>
        </w:rPr>
        <w:t>(3)</w:t>
      </w:r>
      <w:r w:rsidRPr="002F6BA4">
        <w:rPr>
          <w:color w:val="000000" w:themeColor="text1"/>
          <w:u w:color="000000" w:themeColor="text1"/>
        </w:rPr>
        <w:tab/>
        <w:t>Whenever the person operates the employer’s vehicle pursuant to this subsection, the person shall have with the person a copy of the Department of Motor Vehicles’ form specified by Section 56</w:t>
      </w:r>
      <w:r w:rsidRPr="002F6BA4">
        <w:rPr>
          <w:color w:val="000000" w:themeColor="text1"/>
          <w:u w:color="000000" w:themeColor="text1"/>
        </w:rPr>
        <w:noBreakHyphen/>
        <w:t>1</w:t>
      </w:r>
      <w:r w:rsidRPr="002F6BA4">
        <w:rPr>
          <w:color w:val="000000" w:themeColor="text1"/>
          <w:u w:color="000000" w:themeColor="text1"/>
        </w:rPr>
        <w:noBreakHyphen/>
        <w:t>400(B).</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F6BA4">
        <w:rPr>
          <w:color w:val="000000" w:themeColor="text1"/>
          <w:u w:color="000000" w:themeColor="text1"/>
        </w:rPr>
        <w:lastRenderedPageBreak/>
        <w:tab/>
      </w:r>
      <w:r w:rsidRPr="002F6BA4">
        <w:rPr>
          <w:color w:val="000000" w:themeColor="text1"/>
          <w:u w:color="000000" w:themeColor="text1"/>
        </w:rPr>
        <w:tab/>
      </w:r>
      <w:r w:rsidRPr="002F6BA4">
        <w:rPr>
          <w:strike/>
          <w:color w:val="000000" w:themeColor="text1"/>
          <w:u w:color="000000" w:themeColor="text1"/>
        </w:rPr>
        <w:t>(3)</w:t>
      </w:r>
      <w:r w:rsidRPr="002F6BA4">
        <w:rPr>
          <w:color w:val="000000" w:themeColor="text1"/>
          <w:u w:val="single" w:color="000000" w:themeColor="text1"/>
        </w:rPr>
        <w:t>(4)</w:t>
      </w:r>
      <w:r w:rsidRPr="002F6BA4">
        <w:rPr>
          <w:color w:val="000000" w:themeColor="text1"/>
          <w:u w:color="000000" w:themeColor="text1"/>
        </w:rPr>
        <w:tab/>
        <w:t>This subsection will be construed in parallel with the requirements of Section 56</w:t>
      </w:r>
      <w:r w:rsidRPr="002F6BA4">
        <w:rPr>
          <w:color w:val="000000" w:themeColor="text1"/>
          <w:u w:color="000000" w:themeColor="text1"/>
        </w:rPr>
        <w:noBreakHyphen/>
        <w:t>1</w:t>
      </w:r>
      <w:r w:rsidRPr="002F6BA4">
        <w:rPr>
          <w:color w:val="000000" w:themeColor="text1"/>
          <w:u w:color="000000" w:themeColor="text1"/>
        </w:rPr>
        <w:noBreakHyphen/>
        <w:t>400(B). A waiver issued pursuant to this subsection will be subject to the same review and revocation as described in Section 56</w:t>
      </w:r>
      <w:r w:rsidRPr="002F6BA4">
        <w:rPr>
          <w:color w:val="000000" w:themeColor="text1"/>
          <w:u w:color="000000" w:themeColor="text1"/>
        </w:rPr>
        <w:noBreakHyphen/>
        <w:t>1</w:t>
      </w:r>
      <w:r w:rsidRPr="002F6BA4">
        <w:rPr>
          <w:color w:val="000000" w:themeColor="text1"/>
          <w:u w:color="000000" w:themeColor="text1"/>
        </w:rPr>
        <w:noBreakHyphen/>
        <w:t>400(B).</w:t>
      </w:r>
      <w:r w:rsidRPr="002F6BA4">
        <w:rPr>
          <w:rFonts w:eastAsia="Times New Roman"/>
          <w:color w:val="000000" w:themeColor="text1"/>
          <w:szCs w:val="24"/>
          <w:u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D50AAB">
        <w:rPr>
          <w:rFonts w:eastAsia="Times New Roman"/>
          <w:color w:val="000000" w:themeColor="text1"/>
          <w:u w:color="000000" w:themeColor="text1"/>
        </w:rPr>
        <w:t>SECTION</w:t>
      </w:r>
      <w:r w:rsidRPr="00D50AAB">
        <w:rPr>
          <w:rFonts w:eastAsia="Times New Roman"/>
          <w:color w:val="000000" w:themeColor="text1"/>
          <w:u w:color="000000" w:themeColor="text1"/>
        </w:rPr>
        <w:tab/>
        <w:t>3.</w:t>
      </w:r>
      <w:r w:rsidRPr="00D50AAB">
        <w:rPr>
          <w:rFonts w:eastAsia="Times New Roman"/>
          <w:color w:val="000000" w:themeColor="text1"/>
          <w:u w:color="000000" w:themeColor="text1"/>
        </w:rPr>
        <w:tab/>
        <w:t>Section 56</w:t>
      </w:r>
      <w:r w:rsidRPr="00D50AAB">
        <w:rPr>
          <w:rFonts w:eastAsia="Times New Roman"/>
          <w:color w:val="000000" w:themeColor="text1"/>
          <w:u w:color="000000" w:themeColor="text1"/>
        </w:rPr>
        <w:noBreakHyphen/>
        <w:t>5</w:t>
      </w:r>
      <w:r w:rsidRPr="00D50AAB">
        <w:rPr>
          <w:rFonts w:eastAsia="Times New Roman"/>
          <w:color w:val="000000" w:themeColor="text1"/>
          <w:u w:color="000000" w:themeColor="text1"/>
        </w:rPr>
        <w:noBreakHyphen/>
        <w:t>2990(B) of the 1976 Code is amended to read:</w:t>
      </w: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A22BA"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0AAB">
        <w:rPr>
          <w:rFonts w:eastAsia="Times New Roman"/>
          <w:color w:val="000000" w:themeColor="text1"/>
          <w:szCs w:val="24"/>
          <w:u w:color="000000" w:themeColor="text1"/>
        </w:rPr>
        <w:tab/>
        <w:t>“</w:t>
      </w:r>
      <w:r w:rsidRPr="00D50AAB">
        <w:rPr>
          <w:color w:val="000000" w:themeColor="text1"/>
          <w:u w:color="000000" w:themeColor="text1"/>
        </w:rPr>
        <w:t>(B)</w:t>
      </w:r>
      <w:r w:rsidRPr="00D50AAB">
        <w:rPr>
          <w:color w:val="000000" w:themeColor="text1"/>
          <w:u w:color="000000" w:themeColor="text1"/>
        </w:rPr>
        <w:tab/>
        <w:t>A person whose license is suspended pursuant to this section, Section 56</w:t>
      </w:r>
      <w:r w:rsidRPr="00D50AAB">
        <w:rPr>
          <w:color w:val="000000" w:themeColor="text1"/>
          <w:u w:color="000000" w:themeColor="text1"/>
        </w:rPr>
        <w:noBreakHyphen/>
        <w:t>1</w:t>
      </w:r>
      <w:r w:rsidRPr="00D50AAB">
        <w:rPr>
          <w:color w:val="000000" w:themeColor="text1"/>
          <w:u w:color="000000" w:themeColor="text1"/>
        </w:rPr>
        <w:noBreakHyphen/>
        <w:t>286, 56</w:t>
      </w:r>
      <w:r w:rsidRPr="00D50AAB">
        <w:rPr>
          <w:color w:val="000000" w:themeColor="text1"/>
          <w:u w:color="000000" w:themeColor="text1"/>
        </w:rPr>
        <w:noBreakHyphen/>
        <w:t>5</w:t>
      </w:r>
      <w:r w:rsidRPr="00D50AAB">
        <w:rPr>
          <w:color w:val="000000" w:themeColor="text1"/>
          <w:u w:color="000000" w:themeColor="text1"/>
        </w:rPr>
        <w:noBreakHyphen/>
        <w:t>2945, or 56</w:t>
      </w:r>
      <w:r w:rsidRPr="00D50AAB">
        <w:rPr>
          <w:color w:val="000000" w:themeColor="text1"/>
          <w:u w:color="000000" w:themeColor="text1"/>
        </w:rPr>
        <w:noBreakHyphen/>
        <w:t>5</w:t>
      </w:r>
      <w:r w:rsidRPr="00D50AAB">
        <w:rPr>
          <w:color w:val="000000" w:themeColor="text1"/>
          <w:u w:color="000000" w:themeColor="text1"/>
        </w:rPr>
        <w:noBreakHyphen/>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Pr="00D50AAB">
        <w:rPr>
          <w:color w:val="000000" w:themeColor="text1"/>
          <w:u w:color="000000" w:themeColor="text1"/>
        </w:rPr>
        <w:noBreakHyphen/>
        <w:t>ordered drug program may use the route restricted or special restricted driver’s license to attend the Alcohol and Drug Safety Action Program classes or court</w:t>
      </w:r>
      <w:r w:rsidRPr="00D50AAB">
        <w:rPr>
          <w:color w:val="000000" w:themeColor="text1"/>
          <w:u w:color="000000" w:themeColor="text1"/>
        </w:rPr>
        <w:noBreakHyphen/>
        <w:t xml:space="preserve">ordered drug program in addition to the other permitted uses of a route restricted driver’s license or a special restricted driver’s license.  An assessment of the extent and nature of the alcohol and drug abuse problem, if any, of the person must be prepared and a plan of education or treatment, or both, must be developed for the person.  Entry into </w:t>
      </w:r>
      <w:r w:rsidRPr="00D50AAB">
        <w:rPr>
          <w:strike/>
          <w:color w:val="000000" w:themeColor="text1"/>
          <w:u w:color="000000" w:themeColor="text1"/>
        </w:rPr>
        <w:t>and successful completion of</w:t>
      </w:r>
      <w:r w:rsidRPr="00D50AAB">
        <w:rPr>
          <w:color w:val="000000" w:themeColor="text1"/>
          <w:u w:color="000000" w:themeColor="text1"/>
        </w:rPr>
        <w:t xml:space="preserve"> the services, if the services are necessary, recommended in the plan of education or treatment, or both, developed for the person is a mandatory requirement of the issuance of an ignition interlock restricted license </w:t>
      </w:r>
      <w:r w:rsidRPr="00F6149D">
        <w:rPr>
          <w:strike/>
          <w:color w:val="000000" w:themeColor="text1"/>
          <w:u w:color="000000" w:themeColor="text1"/>
        </w:rPr>
        <w:t>and restoration of driving privileges</w:t>
      </w:r>
      <w:r w:rsidRPr="00D50AAB">
        <w:rPr>
          <w:color w:val="000000" w:themeColor="text1"/>
          <w:u w:color="000000" w:themeColor="text1"/>
        </w:rPr>
        <w:t xml:space="preserve"> to the person whose license is suspended pursuant to this section.  </w:t>
      </w:r>
      <w:r w:rsidRPr="00F6149D">
        <w:rPr>
          <w:color w:val="000000" w:themeColor="text1"/>
          <w:u w:val="single"/>
        </w:rPr>
        <w:t xml:space="preserve">Successful completion of the services, if the services are necessary, recommended in the plan of education or treatment, or both, developed for the person is a mandatory requirement of the </w:t>
      </w:r>
      <w:r>
        <w:rPr>
          <w:color w:val="000000" w:themeColor="text1"/>
          <w:u w:val="single"/>
        </w:rPr>
        <w:t xml:space="preserve">full </w:t>
      </w:r>
      <w:r w:rsidRPr="00F6149D">
        <w:rPr>
          <w:color w:val="000000" w:themeColor="text1"/>
          <w:u w:val="single"/>
        </w:rPr>
        <w:t>restoration of driving privileges to the person whose license is suspended pursuant to this section</w:t>
      </w:r>
      <w:r>
        <w:rPr>
          <w:color w:val="000000" w:themeColor="text1"/>
          <w:u w:val="single"/>
        </w:rPr>
        <w:t>.</w:t>
      </w:r>
      <w:r>
        <w:rPr>
          <w:color w:val="000000" w:themeColor="text1"/>
        </w:rPr>
        <w:t xml:space="preserve">  </w:t>
      </w:r>
      <w:r w:rsidRPr="00D50AAB">
        <w:rPr>
          <w:color w:val="000000" w:themeColor="text1"/>
          <w:u w:color="000000" w:themeColor="text1"/>
        </w:rPr>
        <w:t>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612" w:rsidRPr="005D3790" w:rsidRDefault="00B87612" w:rsidP="00B8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sidRPr="005D3790">
        <w:rPr>
          <w:rFonts w:eastAsia="Times New Roman"/>
          <w:szCs w:val="20"/>
        </w:rPr>
        <w:t>.</w:t>
      </w:r>
      <w:r w:rsidRPr="005D3790">
        <w:rPr>
          <w:rFonts w:eastAsia="Times New Roman"/>
          <w:szCs w:val="20"/>
        </w:rPr>
        <w:tab/>
        <w:t>Section 56</w:t>
      </w:r>
      <w:r w:rsidRPr="005D3790">
        <w:rPr>
          <w:rFonts w:eastAsia="Times New Roman"/>
          <w:szCs w:val="20"/>
        </w:rPr>
        <w:noBreakHyphen/>
        <w:t>5</w:t>
      </w:r>
      <w:r w:rsidRPr="005D3790">
        <w:rPr>
          <w:rFonts w:eastAsia="Times New Roman"/>
          <w:szCs w:val="20"/>
        </w:rPr>
        <w:noBreakHyphen/>
        <w:t>2941 of the 1976 Code</w:t>
      </w:r>
      <w:r>
        <w:rPr>
          <w:rFonts w:eastAsia="Times New Roman"/>
          <w:szCs w:val="20"/>
        </w:rPr>
        <w:t xml:space="preserve"> </w:t>
      </w:r>
      <w:r w:rsidRPr="005D3790">
        <w:rPr>
          <w:rFonts w:eastAsia="Times New Roman"/>
          <w:szCs w:val="20"/>
        </w:rPr>
        <w:t xml:space="preserve">is amended by adding </w:t>
      </w:r>
      <w:r>
        <w:rPr>
          <w:rFonts w:eastAsia="Times New Roman"/>
          <w:szCs w:val="20"/>
        </w:rPr>
        <w:t xml:space="preserve">an appropriately numbered subsection </w:t>
      </w:r>
      <w:r w:rsidRPr="005D3790">
        <w:rPr>
          <w:rFonts w:eastAsia="Times New Roman"/>
          <w:szCs w:val="20"/>
        </w:rPr>
        <w:t>at the end</w:t>
      </w:r>
      <w:r>
        <w:rPr>
          <w:rFonts w:eastAsia="Times New Roman"/>
          <w:szCs w:val="20"/>
        </w:rPr>
        <w:t xml:space="preserve"> to read</w:t>
      </w:r>
      <w:r w:rsidRPr="005D3790">
        <w:rPr>
          <w:rFonts w:eastAsia="Times New Roman"/>
          <w:szCs w:val="20"/>
        </w:rPr>
        <w:t>:</w:t>
      </w:r>
    </w:p>
    <w:p w:rsidR="00B87612" w:rsidRPr="005D3790" w:rsidRDefault="00B87612" w:rsidP="00B8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3790">
        <w:rPr>
          <w:rFonts w:eastAsia="Times New Roman"/>
          <w:szCs w:val="20"/>
        </w:rPr>
        <w:tab/>
        <w:t>“( )</w:t>
      </w:r>
      <w:r w:rsidRPr="005D3790">
        <w:rPr>
          <w:rFonts w:eastAsia="Times New Roman"/>
          <w:szCs w:val="20"/>
        </w:rPr>
        <w:tab/>
        <w:t>This section shall apply retroactively to:</w:t>
      </w:r>
    </w:p>
    <w:p w:rsidR="00B87612" w:rsidRPr="005D3790" w:rsidRDefault="00B87612" w:rsidP="00B8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3790">
        <w:rPr>
          <w:rFonts w:eastAsia="Times New Roman"/>
          <w:szCs w:val="20"/>
        </w:rPr>
        <w:lastRenderedPageBreak/>
        <w:tab/>
      </w:r>
      <w:r w:rsidRPr="005D3790">
        <w:rPr>
          <w:rFonts w:eastAsia="Times New Roman"/>
          <w:szCs w:val="20"/>
        </w:rPr>
        <w:tab/>
        <w:t>(1)</w:t>
      </w:r>
      <w:r w:rsidRPr="005D3790">
        <w:rPr>
          <w:rFonts w:eastAsia="Times New Roman"/>
          <w:szCs w:val="20"/>
        </w:rPr>
        <w:tab/>
        <w:t>any person currently serving a suspension or denial of the issuance of a license or permit due to an alcohol</w:t>
      </w:r>
      <w:r w:rsidRPr="005D3790">
        <w:rPr>
          <w:rFonts w:eastAsia="Times New Roman"/>
          <w:szCs w:val="20"/>
        </w:rPr>
        <w:noBreakHyphen/>
        <w:t>related violation; and</w:t>
      </w:r>
    </w:p>
    <w:p w:rsidR="00B87612" w:rsidRDefault="00B87612" w:rsidP="00B8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3790">
        <w:rPr>
          <w:rFonts w:eastAsia="Times New Roman"/>
          <w:szCs w:val="20"/>
        </w:rPr>
        <w:tab/>
      </w:r>
      <w:r w:rsidRPr="005D3790">
        <w:rPr>
          <w:rFonts w:eastAsia="Times New Roman"/>
          <w:szCs w:val="20"/>
        </w:rPr>
        <w:tab/>
        <w:t>(2)</w:t>
      </w:r>
      <w:r w:rsidRPr="005D3790">
        <w:rPr>
          <w:rFonts w:eastAsia="Times New Roman"/>
          <w:szCs w:val="20"/>
        </w:rPr>
        <w:tab/>
        <w:t>any person declared an habitual offender pursuant to Section 56</w:t>
      </w:r>
      <w:r w:rsidRPr="005D3790">
        <w:rPr>
          <w:rFonts w:eastAsia="Times New Roman"/>
          <w:szCs w:val="20"/>
        </w:rPr>
        <w:noBreakHyphen/>
        <w:t>1</w:t>
      </w:r>
      <w:r w:rsidRPr="005D3790">
        <w:rPr>
          <w:rFonts w:eastAsia="Times New Roman"/>
          <w:szCs w:val="20"/>
        </w:rPr>
        <w:noBreakHyphen/>
        <w:t>110, if any one or more of the three accumulated violations resulting in the declaration of the person as an habitual offender is either driving under the influence pursuant to Section 56</w:t>
      </w:r>
      <w:r w:rsidRPr="005D3790">
        <w:rPr>
          <w:rFonts w:eastAsia="Times New Roman"/>
          <w:szCs w:val="20"/>
        </w:rPr>
        <w:noBreakHyphen/>
        <w:t>5</w:t>
      </w:r>
      <w:r w:rsidRPr="005D3790">
        <w:rPr>
          <w:rFonts w:eastAsia="Times New Roman"/>
          <w:szCs w:val="20"/>
        </w:rPr>
        <w:noBreakHyphen/>
        <w:t>2930 or driving with an unlawful alcohol concentration pursuant to Section 56</w:t>
      </w:r>
      <w:r w:rsidRPr="005D3790">
        <w:rPr>
          <w:rFonts w:eastAsia="Times New Roman"/>
          <w:szCs w:val="20"/>
        </w:rPr>
        <w:noBreakHyphen/>
        <w:t>5</w:t>
      </w:r>
      <w:r w:rsidRPr="005D3790">
        <w:rPr>
          <w:rFonts w:eastAsia="Times New Roman"/>
          <w:szCs w:val="20"/>
        </w:rPr>
        <w:noBreakHyphen/>
        <w:t>2933.  In lieu of serving the remainder of their suspension or denial of the issuance of a license or permit, a person may enroll in the Ignition Interlock Device Program, end the suspension or denial of the issuance of a license or permit, and obtain an ignition interlock restricted license pursuant to Section 56</w:t>
      </w:r>
      <w:r w:rsidRPr="005D3790">
        <w:rPr>
          <w:rFonts w:eastAsia="Times New Roman"/>
          <w:szCs w:val="20"/>
        </w:rPr>
        <w:noBreakHyphen/>
        <w:t>1</w:t>
      </w:r>
      <w:r w:rsidRPr="005D3790">
        <w:rPr>
          <w:rFonts w:eastAsia="Times New Roman"/>
          <w:szCs w:val="20"/>
        </w:rPr>
        <w:noBreakHyphen/>
        <w:t>400.  The ignition interlock device is required to be affixed to the motor vehicle equal to the length of time remaining on the person’s suspension or denial of the issuance of a license or permit.  If the length of time remaining is less than the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5D3790">
        <w:rPr>
          <w:rFonts w:eastAsia="Times New Roman"/>
          <w:szCs w:val="20"/>
        </w:rPr>
        <w:noBreakHyphen/>
        <w:t>5</w:t>
      </w:r>
      <w:r w:rsidRPr="005D3790">
        <w:rPr>
          <w:rFonts w:eastAsia="Times New Roman"/>
          <w:szCs w:val="20"/>
        </w:rPr>
        <w:noBreakHyphen/>
        <w:t>2941 and can not subsequently choose to serve the suspension.”</w:t>
      </w:r>
    </w:p>
    <w:p w:rsidR="00B87612" w:rsidRDefault="00B8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Pr="00522CE0"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7612">
        <w:rPr>
          <w:rFonts w:eastAsia="Times New Roman"/>
        </w:rPr>
        <w:t>5</w:t>
      </w:r>
      <w:r>
        <w:rPr>
          <w:rFonts w:eastAsia="Times New Roman"/>
        </w:rPr>
        <w:t>.</w:t>
      </w:r>
      <w:r>
        <w:rPr>
          <w:rFonts w:eastAsia="Times New Roman"/>
        </w:rPr>
        <w:tab/>
        <w:t>This act takes effect upon approval by the Governor.</w:t>
      </w:r>
    </w:p>
    <w:p w:rsidR="007635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B7A3E" w:rsidRDefault="00EB7A3E" w:rsidP="00EB7A3E">
      <w:pPr>
        <w:suppressAutoHyphens/>
        <w:jc w:val="both"/>
        <w:rPr>
          <w:rFonts w:eastAsia="Times New Roman"/>
        </w:rPr>
      </w:pPr>
    </w:p>
    <w:sectPr w:rsidR="00EB7A3E" w:rsidSect="006A5A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2BA" w:rsidRDefault="002A22BA" w:rsidP="00522CE0">
      <w:r>
        <w:separator/>
      </w:r>
    </w:p>
  </w:endnote>
  <w:endnote w:type="continuationSeparator" w:id="0">
    <w:p w:rsidR="002A22BA" w:rsidRDefault="002A22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063F8F-D1DB-4155-98CE-86F018641632}"/>
    <w:embedBold r:id="rId2" w:fontKey="{786891A3-1FEB-4A84-80B5-90ED0DF1EB33}"/>
  </w:font>
  <w:font w:name="Calibri">
    <w:panose1 w:val="020F0502020204030204"/>
    <w:charset w:val="00"/>
    <w:family w:val="swiss"/>
    <w:pitch w:val="variable"/>
    <w:sig w:usb0="E10002FF" w:usb1="4000ACFF" w:usb2="00000009" w:usb3="00000000" w:csb0="0000019F" w:csb1="00000000"/>
    <w:embedRegular r:id="rId3" w:fontKey="{AE5353AC-9E5C-4862-BAD5-4F1FCAFBE6FC}"/>
  </w:font>
  <w:font w:name="Segoe UI">
    <w:panose1 w:val="020B0502040204020203"/>
    <w:charset w:val="00"/>
    <w:family w:val="swiss"/>
    <w:pitch w:val="variable"/>
    <w:sig w:usb0="E10022FF" w:usb1="C000E47F" w:usb2="00000029" w:usb3="00000000" w:csb0="000001DF" w:csb1="00000000"/>
    <w:embedRegular r:id="rId4" w:fontKey="{E094EEEB-DC6D-4F2D-ADF2-CCAA26BA6CF9}"/>
  </w:font>
  <w:font w:name="Cambria">
    <w:panose1 w:val="02040503050406030204"/>
    <w:charset w:val="00"/>
    <w:family w:val="roman"/>
    <w:pitch w:val="variable"/>
    <w:sig w:usb0="E00002FF" w:usb1="400004FF" w:usb2="00000000" w:usb3="00000000" w:csb0="0000019F" w:csb1="00000000"/>
    <w:embedRegular r:id="rId5" w:fontKey="{9B006B5A-97B1-4DE2-A559-7E23DCFA24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52E" w:rsidRPr="007A3548" w:rsidRDefault="007A3548" w:rsidP="007A3548">
    <w:pPr>
      <w:pStyle w:val="Footer"/>
      <w:tabs>
        <w:tab w:val="clear" w:pos="4680"/>
        <w:tab w:val="clear" w:pos="9360"/>
        <w:tab w:val="center" w:pos="2995"/>
      </w:tabs>
      <w:spacing w:before="120"/>
    </w:pPr>
    <w:r>
      <w:t>[590</w:t>
    </w:r>
    <w:r w:rsidR="006A5ABD">
      <w:t>-</w:t>
    </w:r>
    <w:r w:rsidR="006A5ABD">
      <w:fldChar w:fldCharType="begin"/>
    </w:r>
    <w:r w:rsidR="006A5ABD">
      <w:instrText xml:space="preserve"> PAGE  \* MERGEFORMAT </w:instrText>
    </w:r>
    <w:r w:rsidR="006A5ABD">
      <w:fldChar w:fldCharType="separate"/>
    </w:r>
    <w:r w:rsidR="00EB7A3E">
      <w:rPr>
        <w:noProof/>
      </w:rPr>
      <w:t>1</w:t>
    </w:r>
    <w:r w:rsidR="006A5ABD">
      <w:fldChar w:fldCharType="end"/>
    </w:r>
    <w:r w:rsidR="006A5A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ABD" w:rsidRPr="007A3548" w:rsidRDefault="006A5ABD" w:rsidP="007A3548">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sidR="00EB7A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2BA" w:rsidRDefault="002A22BA" w:rsidP="00522CE0">
      <w:r>
        <w:separator/>
      </w:r>
    </w:p>
  </w:footnote>
  <w:footnote w:type="continuationSeparator" w:id="0">
    <w:p w:rsidR="002A22BA" w:rsidRDefault="002A22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1.JJG"/>
    <w:docVar w:name="CoverAttorneyInitials" w:val="JJG"/>
    <w:docVar w:name="CoverAttorneyLastName" w:val="Gentry"/>
    <w:docVar w:name="CoverBillType" w:val="b"/>
    <w:docVar w:name="DraftFileName" w:val="JUD0061.JJG.DOCX"/>
    <w:docVar w:name="DraftStenoName" w:val="Knipp"/>
    <w:docVar w:name="dvBillNumber" w:val="590"/>
    <w:docVar w:name="dvBillNumberPrefix" w:val="S. "/>
    <w:docVar w:name="dvOriginalBody" w:val="Senate"/>
    <w:docVar w:name="fulldraftpath" w:val="L:\S-JUD\BILLS\L. Martin\JUD0061.JJG.DOCX"/>
    <w:docVar w:name="NameofBody" w:val="S"/>
    <w:docVar w:name="SenatorFolderName" w:val="L. Martin"/>
    <w:docVar w:name="VGROUP2" w:val="S-JUD"/>
  </w:docVars>
  <w:rsids>
    <w:rsidRoot w:val="002A22BA"/>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A22BA"/>
    <w:rsid w:val="002C5896"/>
    <w:rsid w:val="00307C2B"/>
    <w:rsid w:val="0031409E"/>
    <w:rsid w:val="0032109A"/>
    <w:rsid w:val="0033316C"/>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5A59"/>
    <w:rsid w:val="005F15E4"/>
    <w:rsid w:val="00600221"/>
    <w:rsid w:val="00606D23"/>
    <w:rsid w:val="0062372C"/>
    <w:rsid w:val="00641A16"/>
    <w:rsid w:val="006431BA"/>
    <w:rsid w:val="006A5ABD"/>
    <w:rsid w:val="006B4B3C"/>
    <w:rsid w:val="006C74EA"/>
    <w:rsid w:val="006E396D"/>
    <w:rsid w:val="00720D40"/>
    <w:rsid w:val="0073026D"/>
    <w:rsid w:val="007311B4"/>
    <w:rsid w:val="007318D4"/>
    <w:rsid w:val="00746551"/>
    <w:rsid w:val="0076352E"/>
    <w:rsid w:val="00765784"/>
    <w:rsid w:val="00794110"/>
    <w:rsid w:val="007A3548"/>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2545"/>
    <w:rsid w:val="00A86015"/>
    <w:rsid w:val="00AE59C8"/>
    <w:rsid w:val="00B030B6"/>
    <w:rsid w:val="00B10098"/>
    <w:rsid w:val="00B10E10"/>
    <w:rsid w:val="00B35389"/>
    <w:rsid w:val="00B43327"/>
    <w:rsid w:val="00B450FF"/>
    <w:rsid w:val="00B47304"/>
    <w:rsid w:val="00B66C95"/>
    <w:rsid w:val="00B67A46"/>
    <w:rsid w:val="00B75B6C"/>
    <w:rsid w:val="00B87612"/>
    <w:rsid w:val="00B945C5"/>
    <w:rsid w:val="00BA20EA"/>
    <w:rsid w:val="00BB754E"/>
    <w:rsid w:val="00BC0A56"/>
    <w:rsid w:val="00C15CAF"/>
    <w:rsid w:val="00C23348"/>
    <w:rsid w:val="00C6454A"/>
    <w:rsid w:val="00C74052"/>
    <w:rsid w:val="00CB187A"/>
    <w:rsid w:val="00CD1843"/>
    <w:rsid w:val="00CD7C71"/>
    <w:rsid w:val="00D1088B"/>
    <w:rsid w:val="00D156D2"/>
    <w:rsid w:val="00D77EC0"/>
    <w:rsid w:val="00D86943"/>
    <w:rsid w:val="00DA47B9"/>
    <w:rsid w:val="00DC0FF1"/>
    <w:rsid w:val="00DF7731"/>
    <w:rsid w:val="00E57EF7"/>
    <w:rsid w:val="00E677A1"/>
    <w:rsid w:val="00E91E2F"/>
    <w:rsid w:val="00EA3546"/>
    <w:rsid w:val="00EB1AAC"/>
    <w:rsid w:val="00EB47AE"/>
    <w:rsid w:val="00EB7A3E"/>
    <w:rsid w:val="00EC34E1"/>
    <w:rsid w:val="00ED0AE1"/>
    <w:rsid w:val="00F0234A"/>
    <w:rsid w:val="00F30416"/>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BCE51C9-361F-4F10-89BE-E9D5CE9D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DC0F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F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AEB97-AD32-4458-9661-7D80621F0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A846DF6C.dotm</Template>
  <TotalTime>0</TotalTime>
  <Pages>6</Pages>
  <Words>1649</Words>
  <Characters>8346</Characters>
  <Application>Microsoft Office Word</Application>
  <DocSecurity>0</DocSecurity>
  <Lines>211</Lines>
  <Paragraphs>41</Paragraphs>
  <ScaleCrop>false</ScaleCrop>
  <HeadingPairs>
    <vt:vector size="2" baseType="variant">
      <vt:variant>
        <vt:lpstr>Title</vt:lpstr>
      </vt:variant>
      <vt:variant>
        <vt:i4>1</vt:i4>
      </vt:variant>
    </vt:vector>
  </HeadingPairs>
  <TitlesOfParts>
    <vt:vector size="1" baseType="lpstr">
      <vt:lpstr>2015-2016 Bill 590 Text of Previous Version (Mar. 24, 2015) - South Carolina Legislature Online</vt:lpstr>
    </vt:vector>
  </TitlesOfParts>
  <Company> </Company>
  <LinksUpToDate>false</LinksUpToDate>
  <CharactersWithSpaces>10031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590 Text of Previous Version (Apr. 14, 2015) - South Carolina Legislature Online</dc:title>
  <dc:subject/>
  <dc:creator>LindseyKnipp</dc:creator>
  <cp:keywords/>
  <dc:description/>
  <cp:lastModifiedBy>Brent Walling</cp:lastModifiedBy>
  <cp:revision>2</cp:revision>
  <cp:lastPrinted>2015-04-14T17:41:00Z</cp:lastPrinted>
  <dcterms:created xsi:type="dcterms:W3CDTF">2015-04-14T17:44:00Z</dcterms:created>
  <dcterms:modified xsi:type="dcterms:W3CDTF">2015-04-14T17:44:00Z</dcterms:modified>
</cp:coreProperties>
</file>