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803" w:rsidRDefault="00B658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1695">
        <w:rPr>
          <w:color w:val="000000" w:themeColor="text1"/>
          <w:u w:color="000000" w:themeColor="text1"/>
        </w:rPr>
        <w:t>TO AMEND SECTION 15</w:t>
      </w:r>
      <w:r w:rsidRPr="00AB1695">
        <w:rPr>
          <w:color w:val="000000" w:themeColor="text1"/>
          <w:u w:color="000000" w:themeColor="text1"/>
        </w:rPr>
        <w:noBreakHyphen/>
        <w:t>48</w:t>
      </w:r>
      <w:r w:rsidRPr="00AB1695">
        <w:rPr>
          <w:color w:val="000000" w:themeColor="text1"/>
          <w:u w:color="000000" w:themeColor="text1"/>
        </w:rPr>
        <w:noBreakHyphen/>
        <w:t>10, CODE OF LAWS OF SOUTH CAROLINA, 1976, RELATING TO THE VALIDITY OF ARBITRATION AGREEMENTS AND EXCEPTIONS FROM OPERATION OF THE CHAPTER, SO AS TO PROVIDE THAT THE NOTICE PROVISIONS OF THE CHAPTER APPLY REGARDLESS OF WHETHER THE REMAINING PROVISIONS APPLY TO A PARTICULAR CONTRACT CONTAINING AN ARBITRATION CLAUSE.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7A8" w:rsidRDefault="00320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7A8" w:rsidRDefault="00320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95">
        <w:rPr>
          <w:color w:val="000000" w:themeColor="text1"/>
          <w:u w:color="000000" w:themeColor="text1"/>
        </w:rPr>
        <w:t>SECTION</w:t>
      </w:r>
      <w:r w:rsidRPr="00AB1695">
        <w:rPr>
          <w:color w:val="000000" w:themeColor="text1"/>
          <w:u w:color="000000" w:themeColor="text1"/>
        </w:rPr>
        <w:tab/>
        <w:t>1.</w:t>
      </w:r>
      <w:r w:rsidRPr="00AB1695">
        <w:rPr>
          <w:color w:val="000000" w:themeColor="text1"/>
          <w:u w:color="000000" w:themeColor="text1"/>
        </w:rPr>
        <w:tab/>
        <w:t>Section 15</w:t>
      </w:r>
      <w:r w:rsidRPr="00AB1695">
        <w:rPr>
          <w:color w:val="000000" w:themeColor="text1"/>
          <w:u w:color="000000" w:themeColor="text1"/>
        </w:rPr>
        <w:noBreakHyphen/>
        <w:t>48</w:t>
      </w:r>
      <w:r w:rsidRPr="00AB1695">
        <w:rPr>
          <w:color w:val="000000" w:themeColor="text1"/>
          <w:u w:color="000000" w:themeColor="text1"/>
        </w:rPr>
        <w:noBreakHyphen/>
        <w:t>10 of the 1976 Code is amended by adding:</w:t>
      </w: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95">
        <w:rPr>
          <w:color w:val="000000" w:themeColor="text1"/>
          <w:u w:color="000000" w:themeColor="text1"/>
        </w:rPr>
        <w:tab/>
        <w:t>“(c)</w:t>
      </w:r>
      <w:r w:rsidRPr="00AB1695">
        <w:rPr>
          <w:color w:val="000000" w:themeColor="text1"/>
          <w:u w:color="000000" w:themeColor="text1"/>
        </w:rPr>
        <w:tab/>
        <w:t>Notwithstanding the exceptions to applicability of this chapter provided in subsection (b), the notice requirements of subsection (a) which provide that notice that a contract is subject to arbitration must be typed in underlined capital letters, or rubber</w:t>
      </w:r>
      <w:r w:rsidRPr="00AB1695">
        <w:rPr>
          <w:color w:val="000000" w:themeColor="text1"/>
          <w:u w:color="000000" w:themeColor="text1"/>
        </w:rPr>
        <w:noBreakHyphen/>
        <w:t>stamped prominently, on the first page of the contract</w:t>
      </w:r>
      <w:r w:rsidR="00BC645A">
        <w:rPr>
          <w:color w:val="000000" w:themeColor="text1"/>
          <w:u w:color="000000" w:themeColor="text1"/>
        </w:rPr>
        <w:t>,</w:t>
      </w:r>
      <w:r w:rsidRPr="00AB1695">
        <w:rPr>
          <w:color w:val="000000" w:themeColor="text1"/>
          <w:u w:color="000000" w:themeColor="text1"/>
        </w:rPr>
        <w:t xml:space="preserve"> apply to all contracts containing arbitration clauses.  If this notice is not displayed on the contract as provided in this subsection, the contract is not subject to arbitration.”</w:t>
      </w: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7A8" w:rsidRDefault="00320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0058">
        <w:t>2</w:t>
      </w:r>
      <w:r>
        <w:t>.</w:t>
      </w:r>
      <w:r>
        <w:tab/>
        <w:t>This act takes effect upon approval by the Governor.</w:t>
      </w:r>
    </w:p>
    <w:p w:rsidR="006B2AF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5803" w:rsidRDefault="00B65803" w:rsidP="00B65803">
      <w:pPr>
        <w:suppressAutoHyphens/>
      </w:pPr>
    </w:p>
    <w:sectPr w:rsidR="00B65803" w:rsidSect="00B658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7A8" w:rsidRDefault="003207A8" w:rsidP="009F0C77">
      <w:r>
        <w:separator/>
      </w:r>
    </w:p>
  </w:endnote>
  <w:endnote w:type="continuationSeparator" w:id="0">
    <w:p w:rsidR="003207A8" w:rsidRDefault="00320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456E93-FAF0-40C9-B49D-96023547D2B6}"/>
    <w:embedBold r:id="rId2" w:fontKey="{BACA6F5A-1B54-445B-9FCE-30EFA9BC82BF}"/>
  </w:font>
  <w:font w:name="Calibri">
    <w:panose1 w:val="020F0502020204030204"/>
    <w:charset w:val="00"/>
    <w:family w:val="swiss"/>
    <w:pitch w:val="variable"/>
    <w:sig w:usb0="E00002FF" w:usb1="4000ACFF" w:usb2="00000001" w:usb3="00000000" w:csb0="0000019F" w:csb1="00000000"/>
    <w:embedRegular r:id="rId3" w:fontKey="{E928B6BE-34AF-454B-A079-209419C25E4A}"/>
  </w:font>
  <w:font w:name="Segoe UI">
    <w:panose1 w:val="020B0502040204020203"/>
    <w:charset w:val="00"/>
    <w:family w:val="swiss"/>
    <w:pitch w:val="variable"/>
    <w:sig w:usb0="E10022FF" w:usb1="C000E47F" w:usb2="00000029" w:usb3="00000000" w:csb0="000001DF" w:csb1="00000000"/>
    <w:embedRegular r:id="rId4" w:fontKey="{FB3DD477-0486-45C5-B4A4-0B2E1DE16F9D}"/>
  </w:font>
  <w:font w:name="Cambria">
    <w:panose1 w:val="02040503050406030204"/>
    <w:charset w:val="00"/>
    <w:family w:val="roman"/>
    <w:pitch w:val="variable"/>
    <w:sig w:usb0="E00002FF" w:usb1="400004FF" w:usb2="00000000" w:usb3="00000000" w:csb0="0000019F" w:csb1="00000000"/>
    <w:embedRegular r:id="rId5" w:fontKey="{0E48B8DD-35AF-4840-A10E-D08897862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AFE" w:rsidRPr="00B65803" w:rsidRDefault="00B65803" w:rsidP="00B65803">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7A8" w:rsidRDefault="003207A8" w:rsidP="009F0C77">
      <w:r>
        <w:separator/>
      </w:r>
    </w:p>
  </w:footnote>
  <w:footnote w:type="continuationSeparator" w:id="0">
    <w:p w:rsidR="003207A8" w:rsidRDefault="00320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6AHB17"/>
    <w:docVar w:name="CoverBillType" w:val="b"/>
    <w:docVar w:name="docpath" w:val="L:\Council\bills\BH\7026AHB17.DOCX"/>
    <w:docVar w:name="dvBillNumber" w:val="3203"/>
    <w:docVar w:name="dvBillNumberPrefix" w:val="H. "/>
    <w:docVar w:name="dvOriginalBody" w:val="House"/>
    <w:docVar w:name="dvSteno" w:val="BH"/>
    <w:docVar w:name="NameofBody" w:val="h"/>
    <w:docVar w:name="vgroup2" w:val="Council"/>
  </w:docVars>
  <w:rsids>
    <w:rsidRoot w:val="003207A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07A8"/>
    <w:rsid w:val="00325348"/>
    <w:rsid w:val="0032732C"/>
    <w:rsid w:val="00336AD0"/>
    <w:rsid w:val="0037079A"/>
    <w:rsid w:val="003C4DAB"/>
    <w:rsid w:val="003D01E8"/>
    <w:rsid w:val="003E5288"/>
    <w:rsid w:val="003F6D79"/>
    <w:rsid w:val="0041760A"/>
    <w:rsid w:val="00417C01"/>
    <w:rsid w:val="004403BD"/>
    <w:rsid w:val="00461441"/>
    <w:rsid w:val="00476FD8"/>
    <w:rsid w:val="004809EE"/>
    <w:rsid w:val="004E7D54"/>
    <w:rsid w:val="005273C6"/>
    <w:rsid w:val="00530A69"/>
    <w:rsid w:val="00545593"/>
    <w:rsid w:val="00577C6C"/>
    <w:rsid w:val="005C2FE2"/>
    <w:rsid w:val="005E2BC9"/>
    <w:rsid w:val="00605102"/>
    <w:rsid w:val="006215AA"/>
    <w:rsid w:val="0064110C"/>
    <w:rsid w:val="00686853"/>
    <w:rsid w:val="006913C9"/>
    <w:rsid w:val="0069470D"/>
    <w:rsid w:val="006B0058"/>
    <w:rsid w:val="006B2AFE"/>
    <w:rsid w:val="00734F00"/>
    <w:rsid w:val="007A70AE"/>
    <w:rsid w:val="0081420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5803"/>
    <w:rsid w:val="00BC645A"/>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2B936A-E6F1-4D21-B139-0183CC8C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11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1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3C873-CB4F-40FE-9AB4-877EA1C36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167</Words>
  <Characters>890</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3203 Text of Previous Version (Dec. 15, 2016) - South Carolina Legislature Online</dc:title>
  <dc:creator>%USERNAME%</dc:creator>
  <cp:lastModifiedBy>S Volk</cp:lastModifiedBy>
  <cp:revision>2</cp:revision>
  <cp:lastPrinted>2016-11-03T14:42:00Z</cp:lastPrinted>
  <dcterms:created xsi:type="dcterms:W3CDTF">2016-12-16T04:02:00Z</dcterms:created>
  <dcterms:modified xsi:type="dcterms:W3CDTF">2016-12-16T04:02:00Z</dcterms:modified>
</cp:coreProperties>
</file>