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76AAB" w:rsidRP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Pr="00D76AAB" w:rsidRDefault="00D76AAB" w:rsidP="00D76AAB">
      <w:pPr>
        <w:tabs>
          <w:tab w:val="right" w:pos="5933"/>
        </w:tabs>
        <w:suppressAutoHyphens/>
      </w:pPr>
      <w:r>
        <w:tab/>
      </w:r>
      <w:r>
        <w:rPr>
          <w:b/>
          <w:sz w:val="36"/>
        </w:rPr>
        <w:t>H. 3204</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Default="00D76AAB"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Elliott, Magnuson, Long, Daning, Pitts, Hixon, Crosby and Taylor</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76AAB" w:rsidRPr="00D76AAB" w:rsidRDefault="00D76AAB"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Pr="00D76AAB" w:rsidRDefault="00D76AAB"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3204) to </w:t>
      </w:r>
      <w:r w:rsidRPr="00D76AAB">
        <w:rPr>
          <w:color w:val="000000" w:themeColor="text1"/>
          <w:u w:color="000000" w:themeColor="text1"/>
        </w:rPr>
        <w:t>amend Sections 2</w:t>
      </w:r>
      <w:r w:rsidRPr="00D76AAB">
        <w:rPr>
          <w:color w:val="000000" w:themeColor="text1"/>
          <w:u w:color="000000" w:themeColor="text1"/>
        </w:rPr>
        <w:noBreakHyphen/>
        <w:t>19</w:t>
      </w:r>
      <w:r w:rsidRPr="00D76AAB">
        <w:rPr>
          <w:color w:val="000000" w:themeColor="text1"/>
          <w:u w:color="000000" w:themeColor="text1"/>
        </w:rPr>
        <w:noBreakHyphen/>
        <w:t>10, 2</w:t>
      </w:r>
      <w:r w:rsidRPr="00D76AAB">
        <w:rPr>
          <w:color w:val="000000" w:themeColor="text1"/>
          <w:u w:color="000000" w:themeColor="text1"/>
        </w:rPr>
        <w:noBreakHyphen/>
        <w:t>19</w:t>
      </w:r>
      <w:r w:rsidRPr="00D76AAB">
        <w:rPr>
          <w:color w:val="000000" w:themeColor="text1"/>
          <w:u w:color="000000" w:themeColor="text1"/>
        </w:rPr>
        <w:noBreakHyphen/>
        <w:t>20, 2</w:t>
      </w:r>
      <w:r w:rsidRPr="00D76AAB">
        <w:rPr>
          <w:color w:val="000000" w:themeColor="text1"/>
          <w:u w:color="000000" w:themeColor="text1"/>
        </w:rPr>
        <w:noBreakHyphen/>
        <w:t>19</w:t>
      </w:r>
      <w:r w:rsidRPr="00D76AAB">
        <w:rPr>
          <w:color w:val="000000" w:themeColor="text1"/>
          <w:u w:color="000000" w:themeColor="text1"/>
        </w:rPr>
        <w:noBreakHyphen/>
        <w:t>35, 2</w:t>
      </w:r>
      <w:r w:rsidRPr="00D76AAB">
        <w:rPr>
          <w:color w:val="000000" w:themeColor="text1"/>
          <w:u w:color="000000" w:themeColor="text1"/>
        </w:rPr>
        <w:noBreakHyphen/>
        <w:t>19</w:t>
      </w:r>
      <w:r w:rsidRPr="00D76AAB">
        <w:rPr>
          <w:color w:val="000000" w:themeColor="text1"/>
          <w:u w:color="000000" w:themeColor="text1"/>
        </w:rPr>
        <w:noBreakHyphen/>
        <w:t>70, 2</w:t>
      </w:r>
      <w:r w:rsidRPr="00D76AAB">
        <w:rPr>
          <w:color w:val="000000" w:themeColor="text1"/>
          <w:u w:color="000000" w:themeColor="text1"/>
        </w:rPr>
        <w:noBreakHyphen/>
        <w:t>19</w:t>
      </w:r>
      <w:r w:rsidRPr="00D76AAB">
        <w:rPr>
          <w:color w:val="000000" w:themeColor="text1"/>
          <w:u w:color="000000" w:themeColor="text1"/>
        </w:rPr>
        <w:noBreakHyphen/>
        <w:t>80</w:t>
      </w:r>
      <w:r>
        <w:t>, etc., respectfully</w:t>
      </w:r>
    </w:p>
    <w:p w:rsidR="00D76AAB" w:rsidRPr="00D76AAB" w:rsidRDefault="00D76AAB"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D76AAB" w:rsidRPr="00D76AAB" w:rsidRDefault="00D76AAB" w:rsidP="00D7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6AAB" w:rsidRDefault="00D76AA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6AAB" w:rsidSect="00D76A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53AE" w:rsidRDefault="00BD53AE"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5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3E3B0D">
        <w:rPr>
          <w:color w:val="000000" w:themeColor="text1"/>
          <w:u w:color="000000" w:themeColor="text1"/>
        </w:rPr>
        <w:t>AMEND SECTIONS 2</w:t>
      </w:r>
      <w:r w:rsidRPr="003E3B0D">
        <w:rPr>
          <w:color w:val="000000" w:themeColor="text1"/>
          <w:u w:color="000000" w:themeColor="text1"/>
        </w:rPr>
        <w:noBreakHyphen/>
        <w:t>19</w:t>
      </w:r>
      <w:r w:rsidRPr="003E3B0D">
        <w:rPr>
          <w:color w:val="000000" w:themeColor="text1"/>
          <w:u w:color="000000" w:themeColor="text1"/>
        </w:rPr>
        <w:noBreakHyphen/>
        <w:t>10, 2</w:t>
      </w:r>
      <w:r w:rsidRPr="003E3B0D">
        <w:rPr>
          <w:color w:val="000000" w:themeColor="text1"/>
          <w:u w:color="000000" w:themeColor="text1"/>
        </w:rPr>
        <w:noBreakHyphen/>
        <w:t>19</w:t>
      </w:r>
      <w:r w:rsidRPr="003E3B0D">
        <w:rPr>
          <w:color w:val="000000" w:themeColor="text1"/>
          <w:u w:color="000000" w:themeColor="text1"/>
        </w:rPr>
        <w:noBreakHyphen/>
        <w:t>20, 2</w:t>
      </w:r>
      <w:r w:rsidRPr="003E3B0D">
        <w:rPr>
          <w:color w:val="000000" w:themeColor="text1"/>
          <w:u w:color="000000" w:themeColor="text1"/>
        </w:rPr>
        <w:noBreakHyphen/>
        <w:t>19</w:t>
      </w:r>
      <w:r w:rsidRPr="003E3B0D">
        <w:rPr>
          <w:color w:val="000000" w:themeColor="text1"/>
          <w:u w:color="000000" w:themeColor="text1"/>
        </w:rPr>
        <w:noBreakHyphen/>
        <w:t>35, 2</w:t>
      </w:r>
      <w:r w:rsidRPr="003E3B0D">
        <w:rPr>
          <w:color w:val="000000" w:themeColor="text1"/>
          <w:u w:color="000000" w:themeColor="text1"/>
        </w:rPr>
        <w:noBreakHyphen/>
        <w:t>19</w:t>
      </w:r>
      <w:r w:rsidRPr="003E3B0D">
        <w:rPr>
          <w:color w:val="000000" w:themeColor="text1"/>
          <w:u w:color="000000" w:themeColor="text1"/>
        </w:rPr>
        <w:noBreakHyphen/>
        <w:t>70, 2</w:t>
      </w:r>
      <w:r w:rsidRPr="003E3B0D">
        <w:rPr>
          <w:color w:val="000000" w:themeColor="text1"/>
          <w:u w:color="000000" w:themeColor="text1"/>
        </w:rPr>
        <w:noBreakHyphen/>
        <w:t>19</w:t>
      </w:r>
      <w:r w:rsidRPr="003E3B0D">
        <w:rPr>
          <w:color w:val="000000" w:themeColor="text1"/>
          <w:u w:color="000000" w:themeColor="text1"/>
        </w:rPr>
        <w:noBreakHyphen/>
        <w:t>80, AND 2</w:t>
      </w:r>
      <w:r w:rsidRPr="003E3B0D">
        <w:rPr>
          <w:color w:val="000000" w:themeColor="text1"/>
          <w:u w:color="000000" w:themeColor="text1"/>
        </w:rPr>
        <w:noBreakHyphen/>
        <w:t>19</w:t>
      </w:r>
      <w:r w:rsidRPr="003E3B0D">
        <w:rPr>
          <w:color w:val="000000" w:themeColor="text1"/>
          <w:u w:color="000000" w:themeColor="text1"/>
        </w:rPr>
        <w:noBreakHyphen/>
        <w:t>90, CODE OF LAWS OF SOUTH CAROLINA, 1976, ALL RELATING TO THE JUDICIAL MERIT SELECTION COMMISSION, SO AS TO CHANGE THE COMMISSION’S PROCESS FOR NOMINATING JUDICIAL CANDIDATES FROM THE NOMINATION OF THREE QUALIFIED CANDIDATES TO THE RELEASE OF A LIST OF ALL QUALIFIED CANDIDATES TO THE GENERAL ASSEMBLY.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549" w:rsidRDefault="003B5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549" w:rsidRDefault="003B5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1.</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10(G)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justice of the state court system or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while serving on the commission and for a period of one year thereafter.”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w:t>
      </w:r>
      <w:r w:rsidRPr="003E3B0D">
        <w:rPr>
          <w:color w:val="000000" w:themeColor="text1"/>
          <w:u w:color="000000" w:themeColor="text1"/>
        </w:rPr>
        <w:tab/>
        <w:t xml:space="preserve">(A) It is the responsibility of the Judicial Merit Selection Commission to determine when judicial vacancies are to occur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For purposes of this chapter, a vacancy is created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w:t>
      </w:r>
      <w:r w:rsidRPr="003E3B0D">
        <w:rPr>
          <w:color w:val="000000" w:themeColor="text1"/>
          <w:u w:color="000000" w:themeColor="text1"/>
        </w:rPr>
        <w:lastRenderedPageBreak/>
        <w:t xml:space="preserve">when any of the following occurs:  a term expires; a new judicial position is created; or a judge can no longer serve due to resignation, retirement, disciplinary action, disability, or death. </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sidRPr="003E3B0D">
        <w:rPr>
          <w:color w:val="000000" w:themeColor="text1"/>
          <w:u w:color="000000" w:themeColor="text1"/>
        </w:rPr>
        <w:noBreakHyphen/>
        <w:t xml:space="preserve">election, shall notify the Supreme Court of the vacancy for publication in the advance sheets provided by the Clerk of the Supreme Court at least thirty days prior to closing applications for the vacancy.  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The Judicial Merit Selection Commission shall announce and publicize vacancies and forthcoming vacancies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w:t>
      </w:r>
      <w:r w:rsidRPr="003E3B0D">
        <w:rPr>
          <w:color w:val="000000" w:themeColor="text1"/>
          <w:u w:color="000000" w:themeColor="text1"/>
        </w:rPr>
        <w:tab/>
        <w:t>(A)</w:t>
      </w:r>
      <w:r w:rsidRPr="003E3B0D">
        <w:rPr>
          <w:color w:val="000000" w:themeColor="text1"/>
          <w:u w:color="000000" w:themeColor="text1"/>
        </w:rPr>
        <w:tab/>
        <w:t xml:space="preserve">The responsibility of the Judicial Merit Selection Commission is to investigate and consider the qualifications of the candidates for judicial office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Investigations and consideration of the commission should include, but are not limited to, the following areas: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lastRenderedPageBreak/>
        <w:tab/>
      </w:r>
      <w:r w:rsidRPr="003E3B0D">
        <w:rPr>
          <w:color w:val="000000" w:themeColor="text1"/>
          <w:u w:color="000000" w:themeColor="text1"/>
        </w:rPr>
        <w:tab/>
        <w:t>(1)</w:t>
      </w:r>
      <w:r w:rsidRPr="003E3B0D">
        <w:rPr>
          <w:color w:val="000000" w:themeColor="text1"/>
          <w:u w:color="000000" w:themeColor="text1"/>
        </w:rPr>
        <w:tab/>
        <w:t>constitutional qualifications;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race, gender, national origin, and other demographic factors should be considered by the commission to ensure nondiscrimination to the greatest extent possible as to all segments of the population of the State.”</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sidRPr="003E3B0D">
        <w:rPr>
          <w:color w:val="000000" w:themeColor="text1"/>
          <w:u w:color="000000" w:themeColor="text1"/>
        </w:rPr>
        <w:noBreakHyphen/>
        <w:t>11</w:t>
      </w:r>
      <w:r w:rsidRPr="003E3B0D">
        <w:rPr>
          <w:color w:val="000000" w:themeColor="text1"/>
          <w:u w:color="000000" w:themeColor="text1"/>
        </w:rPr>
        <w:noBreakHyphen/>
        <w:t>15.</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w:t>
      </w:r>
      <w:r w:rsidRPr="003E3B0D">
        <w:rPr>
          <w:color w:val="000000" w:themeColor="text1"/>
          <w:u w:color="000000" w:themeColor="text1"/>
        </w:rPr>
        <w:lastRenderedPageBreak/>
        <w:t xml:space="preserve">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  The formal release of the report of qualifications shall occur no earlier than forty</w:t>
      </w:r>
      <w:r w:rsidRPr="003E3B0D">
        <w:rPr>
          <w:color w:val="000000" w:themeColor="text1"/>
          <w:u w:color="000000" w:themeColor="text1"/>
        </w:rPr>
        <w:noBreakHyphen/>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  he prohibitions of this section do not extend to an announcement of candidacy by the candidate and statements by the candidate detailing the candidate’s qualifications.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member’s pledge to vote for a candidate for judicial office.</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3E3B0D">
        <w:rPr>
          <w:color w:val="000000" w:themeColor="text1"/>
          <w:u w:color="000000" w:themeColor="text1"/>
        </w:rPr>
        <w:noBreakHyphen/>
        <w:t>3</w:t>
      </w:r>
      <w:r w:rsidRPr="003E3B0D">
        <w:rPr>
          <w:color w:val="000000" w:themeColor="text1"/>
          <w:u w:color="000000" w:themeColor="text1"/>
        </w:rPr>
        <w:noBreakHyphen/>
        <w:t>545.”</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sidRPr="003E3B0D">
        <w:rPr>
          <w:color w:val="000000" w:themeColor="text1"/>
          <w:u w:val="single" w:color="000000" w:themeColor="text1"/>
        </w:rPr>
        <w:noBreakHyphen/>
        <w:t>19</w:t>
      </w:r>
      <w:r w:rsidRPr="003E3B0D">
        <w:rPr>
          <w:color w:val="000000" w:themeColor="text1"/>
          <w:u w:val="single" w:color="000000" w:themeColor="text1"/>
        </w:rPr>
        <w:noBreakHyphen/>
        <w:t>35,</w:t>
      </w:r>
      <w:r w:rsidRPr="003E3B0D">
        <w:rPr>
          <w:color w:val="000000" w:themeColor="text1"/>
          <w:u w:color="000000" w:themeColor="text1"/>
        </w:rPr>
        <w:t xml:space="preserve"> for election to the Supreme Court, court of appeals, circuit court, family court, and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t>
      </w:r>
      <w:r w:rsidRPr="003E3B0D">
        <w:rPr>
          <w:strike/>
          <w:color w:val="000000" w:themeColor="text1"/>
          <w:u w:color="000000" w:themeColor="text1"/>
        </w:rPr>
        <w:t xml:space="preserve">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w:t>
      </w:r>
      <w:r w:rsidRPr="003E3B0D">
        <w:rPr>
          <w:strike/>
          <w:color w:val="000000" w:themeColor="text1"/>
          <w:u w:color="000000" w:themeColor="text1"/>
        </w:rPr>
        <w:lastRenderedPageBreak/>
        <w:t>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  </w:t>
      </w:r>
      <w:r w:rsidRPr="003E3B0D">
        <w:rPr>
          <w:strike/>
          <w:color w:val="000000" w:themeColor="text1"/>
          <w:u w:color="000000" w:themeColor="text1"/>
        </w:rPr>
        <w:t>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3E3B0D">
        <w:rPr>
          <w:color w:val="000000" w:themeColor="text1"/>
          <w:u w:color="000000" w:themeColor="text1"/>
        </w:rPr>
        <w:noBreakHyphen/>
        <w:t>election and upon expiration of his then current term of office, he shall cease serving in that judicial position.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  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 xml:space="preserve">A period of at least two weeks must elapse between the date of the commission’s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w:t>
      </w:r>
      <w:r w:rsidRPr="003E3B0D">
        <w:rPr>
          <w:color w:val="000000" w:themeColor="text1"/>
          <w:u w:color="000000" w:themeColor="text1"/>
        </w:rPr>
        <w:tab/>
        <w:t xml:space="preserve">The General Assembly shall meet in joint session for the election of judges.  The date and time for the joint </w:t>
      </w:r>
      <w:r w:rsidRPr="003E3B0D">
        <w:rPr>
          <w:color w:val="000000" w:themeColor="text1"/>
          <w:u w:color="000000" w:themeColor="text1"/>
        </w:rPr>
        <w:lastRenderedPageBreak/>
        <w:t xml:space="preserve">session shall be set by concurrent resolution upon the recommendation of the Judicial Merit Selection Commission.  The Chairman of the Judicial Merit Selection Commission shall announce the commission’s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7078"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549" w:rsidRDefault="003B5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7078">
        <w:t>8</w:t>
      </w:r>
      <w:r>
        <w:t>.</w:t>
      </w:r>
      <w:r>
        <w:tab/>
        <w:t>This act takes effect upon approval by the Governor.</w:t>
      </w:r>
    </w:p>
    <w:p w:rsidR="0078401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077B" w:rsidRDefault="00F1077B" w:rsidP="00F1077B">
      <w:pPr>
        <w:suppressAutoHyphens/>
      </w:pPr>
    </w:p>
    <w:sectPr w:rsidR="00F1077B" w:rsidSect="00D76A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549" w:rsidRDefault="003B5549" w:rsidP="009F0C77">
      <w:r>
        <w:separator/>
      </w:r>
    </w:p>
  </w:endnote>
  <w:endnote w:type="continuationSeparator" w:id="0">
    <w:p w:rsidR="003B5549" w:rsidRDefault="003B55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5A9C24-BCF0-4040-943F-8391EAD1FC6E}"/>
    <w:embedBold r:id="rId2" w:fontKey="{FB722C55-ADB1-4298-B61F-ACB38C385341}"/>
  </w:font>
  <w:font w:name="Calibri">
    <w:panose1 w:val="020F0502020204030204"/>
    <w:charset w:val="00"/>
    <w:family w:val="swiss"/>
    <w:pitch w:val="variable"/>
    <w:sig w:usb0="E00002FF" w:usb1="4000ACFF" w:usb2="00000001" w:usb3="00000000" w:csb0="0000019F" w:csb1="00000000"/>
    <w:embedRegular r:id="rId3" w:fontKey="{C51E6260-859D-4513-AF83-647C60D1A0C7}"/>
  </w:font>
  <w:font w:name="Cambria">
    <w:panose1 w:val="02040503050406030204"/>
    <w:charset w:val="00"/>
    <w:family w:val="roman"/>
    <w:pitch w:val="variable"/>
    <w:sig w:usb0="E00002FF" w:usb1="400004FF" w:usb2="00000000" w:usb3="00000000" w:csb0="0000019F" w:csb1="00000000"/>
    <w:embedRegular r:id="rId4" w:fontKey="{CC95CD72-0F47-41E9-A2D5-3D90E087F2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01E" w:rsidRPr="00BD53AE" w:rsidRDefault="00BD53AE" w:rsidP="00BD53AE">
    <w:pPr>
      <w:pStyle w:val="Footer"/>
      <w:tabs>
        <w:tab w:val="clear" w:pos="4680"/>
        <w:tab w:val="clear" w:pos="9360"/>
        <w:tab w:val="center" w:pos="2995"/>
      </w:tabs>
      <w:spacing w:before="120"/>
    </w:pPr>
    <w:r>
      <w:t>[3204</w:t>
    </w:r>
    <w:r w:rsidR="00D76AAB">
      <w:t>-</w:t>
    </w:r>
    <w:r w:rsidR="00D76AAB">
      <w:fldChar w:fldCharType="begin"/>
    </w:r>
    <w:r w:rsidR="00D76AAB">
      <w:instrText xml:space="preserve"> PAGE  \* MERGEFORMAT </w:instrText>
    </w:r>
    <w:r w:rsidR="00D76AAB">
      <w:fldChar w:fldCharType="separate"/>
    </w:r>
    <w:r w:rsidR="00F1077B">
      <w:rPr>
        <w:noProof/>
      </w:rPr>
      <w:t>1</w:t>
    </w:r>
    <w:r w:rsidR="00D76AAB">
      <w:fldChar w:fldCharType="end"/>
    </w:r>
    <w:r w:rsidR="00D76A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AAB" w:rsidRPr="00BD53AE" w:rsidRDefault="00D76AAB" w:rsidP="00BD53AE">
    <w:pPr>
      <w:pStyle w:val="Footer"/>
      <w:tabs>
        <w:tab w:val="clear" w:pos="4680"/>
        <w:tab w:val="clear" w:pos="9360"/>
        <w:tab w:val="center" w:pos="2995"/>
      </w:tabs>
      <w:spacing w:before="120"/>
    </w:pPr>
    <w:r>
      <w:t>[3204]</w:t>
    </w:r>
    <w:r>
      <w:tab/>
    </w:r>
    <w:r>
      <w:fldChar w:fldCharType="begin"/>
    </w:r>
    <w:r>
      <w:instrText xml:space="preserve"> PAGE  \* MERGEFORMAT </w:instrText>
    </w:r>
    <w:r>
      <w:fldChar w:fldCharType="separate"/>
    </w:r>
    <w:r w:rsidR="00F107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549" w:rsidRDefault="003B5549" w:rsidP="009F0C77">
      <w:r>
        <w:separator/>
      </w:r>
    </w:p>
  </w:footnote>
  <w:footnote w:type="continuationSeparator" w:id="0">
    <w:p w:rsidR="003B5549" w:rsidRDefault="003B55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5AHB17"/>
    <w:docVar w:name="CoverBillType" w:val="b"/>
    <w:docVar w:name="DocPath" w:val="L:\Council\bills\BH\7055AHB17.DOCX"/>
    <w:docVar w:name="dvBillNumber" w:val="3204"/>
    <w:docVar w:name="dvBillNumberPrefix" w:val="H. "/>
    <w:docVar w:name="dvOriginalBody" w:val="House"/>
    <w:docVar w:name="dvSteno" w:val="BH"/>
    <w:docVar w:name="NameofBody" w:val="h"/>
    <w:docVar w:name="vGroup2" w:val="Council"/>
  </w:docVars>
  <w:rsids>
    <w:rsidRoot w:val="003B5549"/>
    <w:rsid w:val="00011869"/>
    <w:rsid w:val="00015CD6"/>
    <w:rsid w:val="0004236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63F"/>
    <w:rsid w:val="002E5912"/>
    <w:rsid w:val="00301B21"/>
    <w:rsid w:val="00325348"/>
    <w:rsid w:val="0032732C"/>
    <w:rsid w:val="00336AD0"/>
    <w:rsid w:val="0037079A"/>
    <w:rsid w:val="003B554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6B82"/>
    <w:rsid w:val="00605102"/>
    <w:rsid w:val="006215AA"/>
    <w:rsid w:val="006913C9"/>
    <w:rsid w:val="0069470D"/>
    <w:rsid w:val="006D58AA"/>
    <w:rsid w:val="00734F00"/>
    <w:rsid w:val="0078401E"/>
    <w:rsid w:val="007A707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F23"/>
    <w:rsid w:val="00BD53AE"/>
    <w:rsid w:val="00BE3C22"/>
    <w:rsid w:val="00C0345E"/>
    <w:rsid w:val="00C31C95"/>
    <w:rsid w:val="00C3483A"/>
    <w:rsid w:val="00C74E9D"/>
    <w:rsid w:val="00C826DD"/>
    <w:rsid w:val="00C82FD3"/>
    <w:rsid w:val="00C92819"/>
    <w:rsid w:val="00CC6B7B"/>
    <w:rsid w:val="00CD2089"/>
    <w:rsid w:val="00D23AE3"/>
    <w:rsid w:val="00D73A67"/>
    <w:rsid w:val="00D76AAB"/>
    <w:rsid w:val="00D970A9"/>
    <w:rsid w:val="00DF3845"/>
    <w:rsid w:val="00E0388B"/>
    <w:rsid w:val="00E41911"/>
    <w:rsid w:val="00E44B57"/>
    <w:rsid w:val="00E92EEF"/>
    <w:rsid w:val="00EF2368"/>
    <w:rsid w:val="00F1077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2BAD2A-58DF-456D-A2AF-90485D93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23137-E9E1-4593-A26F-7F2452470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7</Pages>
  <Words>2040</Words>
  <Characters>10831</Characters>
  <Application>Microsoft Office Word</Application>
  <DocSecurity>0</DocSecurity>
  <Lines>262</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3204 Text of Previous Version (Jan. 25, 2017) - South Carolina Legislature Online</dc:title>
  <dc:creator>%USERNAME%</dc:creator>
  <cp:lastModifiedBy>Miriam Cook</cp:lastModifiedBy>
  <cp:revision>2</cp:revision>
  <dcterms:created xsi:type="dcterms:W3CDTF">2017-01-25T23:01:00Z</dcterms:created>
  <dcterms:modified xsi:type="dcterms:W3CDTF">2017-01-25T23:01:00Z</dcterms:modified>
</cp:coreProperties>
</file>