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726" w:rsidRDefault="00122726"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4D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577"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5C101A">
        <w:rPr>
          <w:color w:val="000000" w:themeColor="text1"/>
          <w:u w:color="000000" w:themeColor="text1"/>
        </w:rPr>
        <w:t>AMEND SECTION 15</w:t>
      </w:r>
      <w:r w:rsidRPr="005C101A">
        <w:rPr>
          <w:color w:val="000000" w:themeColor="text1"/>
          <w:u w:color="000000" w:themeColor="text1"/>
        </w:rPr>
        <w:noBreakHyphen/>
        <w:t>41</w:t>
      </w:r>
      <w:r w:rsidRPr="005C101A">
        <w:rPr>
          <w:color w:val="000000" w:themeColor="text1"/>
          <w:u w:color="000000" w:themeColor="text1"/>
        </w:rPr>
        <w:noBreakHyphen/>
        <w:t>30, AS AMENDED, CODE OF LAWS OF SOUTH CAROLINA, 1976, RELATING TO PROPERTY EXEMPT FROM BANKRUPTCY PROCEEDINGS OR ATTACHMENT, L</w:t>
      </w:r>
      <w:r>
        <w:rPr>
          <w:color w:val="000000" w:themeColor="text1"/>
          <w:u w:color="000000" w:themeColor="text1"/>
        </w:rPr>
        <w:t>EVY, AND SALE, SO AS TO REVISE EXEMPTIONS IN BANKRUPTCY</w:t>
      </w:r>
      <w:r w:rsidRPr="005C101A">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755A">
        <w:t>SECTION</w:t>
      </w:r>
      <w:r w:rsidRPr="009D755A">
        <w:tab/>
        <w:t>1.</w:t>
      </w:r>
      <w:r w:rsidRPr="009D755A">
        <w:tab/>
      </w:r>
      <w:r w:rsidRPr="009D755A">
        <w:rPr>
          <w:u w:color="000000" w:themeColor="text1"/>
        </w:rPr>
        <w:t>Section 15</w:t>
      </w:r>
      <w:r w:rsidRPr="009D755A">
        <w:rPr>
          <w:u w:color="000000" w:themeColor="text1"/>
        </w:rPr>
        <w:noBreakHyphen/>
        <w:t>41</w:t>
      </w:r>
      <w:r w:rsidRPr="009D755A">
        <w:rPr>
          <w:u w:color="000000" w:themeColor="text1"/>
        </w:rPr>
        <w:noBreakHyphen/>
        <w:t>30(A) of the 1976 Code, as last amended by Act 153 of 2012, is further amended to read:</w:t>
      </w:r>
    </w:p>
    <w:p w:rsidR="003B5577"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t>“(A)</w:t>
      </w:r>
      <w:r w:rsidRPr="009D755A">
        <w:tab/>
        <w:t>The following real and personal property of a debtor domiciled in this State is exempt from attachment, levy, and sale under any mesne or final process issued by a court or bankruptcy proceeding:</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w:t>
      </w:r>
      <w:r w:rsidRPr="009D755A">
        <w:tab/>
        <w:t xml:space="preserve">The debtor’s aggregate interest, not to exceed fifty thousand dollars in value </w:t>
      </w:r>
      <w:r w:rsidRPr="009D755A">
        <w:rPr>
          <w:u w:val="single"/>
        </w:rPr>
        <w:t>except that a surviving spouse may exempt, in addition to their interest, the aggregate interest of a deceased spouse not to exceed fifty thousand dollars in value</w:t>
      </w:r>
      <w:r w:rsidRPr="009D755A">
        <w:t>,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individual owner may not exceed his fractional portion of one hundred thousand dollars.</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(2)</w:t>
      </w:r>
      <w:r w:rsidRPr="009D755A">
        <w:tab/>
        <w:t>The debtor’s interest, not to exceed five thousand dollars in value, in one motor vehicle.</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lastRenderedPageBreak/>
        <w:tab/>
      </w:r>
      <w:r w:rsidRPr="009D755A">
        <w:tab/>
        <w:t>(3)</w:t>
      </w:r>
      <w:r w:rsidRPr="009D755A">
        <w:tab/>
        <w:t>The debtor’s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(4)</w:t>
      </w:r>
      <w:r w:rsidRPr="009D755A">
        <w:tab/>
        <w:t>The debtor’s aggregate interest, not to exceed one thousand dollars in value, in jewelry held primarily for the personal, family, or household use of the debtor or a dependent of the debtor.</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(5)</w:t>
      </w:r>
      <w:r w:rsidRPr="009D755A">
        <w:tab/>
        <w:t>The debtor’s aggregate interest in cash and other liquid assets to the extent of a value not exceeding five thousand dollars, except that this exemption is available only to an individual who does not claim a homestead exemption. The term ‘liquid assets’ includes deposits, securities, notes, drafts, unpaid earnings not otherwise exempt, accrued vacation pay, refunds, prepayments, and other receivables.</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(6)</w:t>
      </w:r>
      <w:r w:rsidRPr="009D755A">
        <w:tab/>
        <w:t>The debtor’s aggregate interest, not to exceed one thousand five hundred dollars in value, in any implements, professional books, or tools of the trade of the debtor or the trade of a dependent of the debtor.</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(7)</w:t>
      </w:r>
      <w:r w:rsidRPr="009D755A">
        <w:tab/>
        <w:t>The debtor’s aggregate interest in any property, not to exceed five thousand dollars in value of an unused exemption amount to which the debtor is entitled pursuant to subsection (A), items (1) through (6).</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(8)</w:t>
      </w:r>
      <w:r w:rsidRPr="009D755A">
        <w:tab/>
        <w:t>Any unmatured life insurance contract owned by the debtor, other than a credit life insurance contract.</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(9)</w:t>
      </w:r>
      <w:r w:rsidRPr="009D755A">
        <w:tab/>
        <w:t>The debtor’s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(10)</w:t>
      </w:r>
      <w:r w:rsidRPr="009D755A">
        <w:tab/>
        <w:t>Professionally prescribed health aids for the debtor or a dependent of the debtor.</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(11)</w:t>
      </w:r>
      <w:r w:rsidRPr="009D755A">
        <w:tab/>
        <w:t>The debtor’s right to receive or property that is traceable to:</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(a)</w:t>
      </w:r>
      <w:r w:rsidRPr="009D755A">
        <w:tab/>
        <w:t>a social security benefit, unemployment compensation, or a local public assistance benefit;</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(b)</w:t>
      </w:r>
      <w:r w:rsidRPr="009D755A">
        <w:tab/>
        <w:t>a veteran’s benefit;</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(c)</w:t>
      </w:r>
      <w:r w:rsidRPr="009D755A">
        <w:tab/>
        <w:t>a disability benefit, except as provided in Section 15</w:t>
      </w:r>
      <w:r w:rsidRPr="009D755A">
        <w:noBreakHyphen/>
        <w:t>41</w:t>
      </w:r>
      <w:r w:rsidRPr="009D755A">
        <w:noBreakHyphen/>
        <w:t>33, or an illness or unemployment benefit;</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(d)</w:t>
      </w:r>
      <w:r w:rsidRPr="009D755A">
        <w:tab/>
        <w:t>alimony, support, or separate maintenance; or</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lastRenderedPageBreak/>
        <w:tab/>
      </w:r>
      <w:r w:rsidRPr="009D755A">
        <w:tab/>
      </w:r>
      <w:r w:rsidRPr="009D755A">
        <w:tab/>
        <w:t>(e)</w:t>
      </w:r>
      <w:r w:rsidRPr="009D755A">
        <w:tab/>
        <w:t>a payment under a stock bonus, pension, profit sharing, annuity, or similar plan or contract on account of illness, disability, death, age, or length of service, unless:</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D755A">
        <w:tab/>
        <w:t>the plan or contract was established by or under the auspices of an insider that employed the debtor at the time the debtor’s rights under the plan or contract arose;</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r>
      <w:r w:rsidRPr="009D755A">
        <w:tab/>
        <w:t>(ii)</w:t>
      </w:r>
      <w:r w:rsidRPr="009D755A">
        <w:tab/>
        <w:t>the payment is on account of age or length of service; and</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r>
      <w:r w:rsidRPr="009D755A">
        <w:tab/>
        <w:t>(iii)</w:t>
      </w:r>
      <w:r w:rsidRPr="009D755A">
        <w:tab/>
        <w:t>the plan or contract does not qualify under Sections 401(a), 403(a), 403(b), or 409 of the Internal Revenue Code of 1954 (26 U.S.C. 401(a), 403(a), 403(b), or 409).</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(12)</w:t>
      </w:r>
      <w:r w:rsidRPr="009D755A">
        <w:tab/>
        <w:t>The debtor’s right to receive or property that is traceable to:</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(a)</w:t>
      </w:r>
      <w:r w:rsidRPr="009D755A">
        <w:tab/>
        <w:t>an award under a crime victim’s reparation law;</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(b)</w:t>
      </w:r>
      <w:r w:rsidRPr="009D755A">
        <w:tab/>
        <w:t>a payment on account of the bodily injury of the debtor or of the wrongful death or bodily injury of another individual of whom the debtor was or is a dependent; or</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(c)</w:t>
      </w:r>
      <w:r w:rsidRPr="009D755A">
        <w:tab/>
        <w:t>a payment under a life insurance contract that insured the life of an individual of whom the debtor was a dependent on the date of that individual’s death, to the extent reasonably necessary for the support of the debtor and any dependent of the debtor.</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(13)</w:t>
      </w:r>
      <w:r w:rsidRPr="009D755A">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9D755A">
        <w:noBreakHyphen/>
        <w:t>6</w:t>
      </w:r>
      <w:r w:rsidRPr="009D755A">
        <w:noBreakHyphen/>
        <w:t>40(A). The interest of an individual under a retirement plan shall be exempt from creditor process to the same extent permitted in Section 522(d) under federal bankruptcy law and is an exception to Section 15</w:t>
      </w:r>
      <w:r w:rsidRPr="009D755A">
        <w:noBreakHyphen/>
        <w:t>41</w:t>
      </w:r>
      <w:r w:rsidRPr="009D755A">
        <w:noBreakHyphen/>
        <w:t>35. The exemption provided by this section shall be available whether such individual has an interest in the retirement plan as a participant, beneficiary, contingent annuitant, alternate payee, or otherwise.</w:t>
      </w:r>
    </w:p>
    <w:p w:rsidR="003B5577" w:rsidRPr="009D755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755A">
        <w:tab/>
      </w:r>
      <w:r w:rsidRPr="009D755A">
        <w:tab/>
        <w:t>(14)</w:t>
      </w:r>
      <w:r w:rsidRPr="009D755A">
        <w:tab/>
        <w:t>The debtor’s interest in a pension plan qualified under the Employee Retirement Income Security Act of 1974, as amended.</w:t>
      </w:r>
    </w:p>
    <w:p w:rsidR="003B5577" w:rsidRPr="005C101A"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55A">
        <w:rPr>
          <w:u w:color="000000" w:themeColor="text1"/>
        </w:rPr>
        <w:tab/>
      </w:r>
      <w:r w:rsidRPr="009D755A">
        <w:rPr>
          <w:u w:color="000000" w:themeColor="text1"/>
        </w:rPr>
        <w:tab/>
      </w:r>
      <w:r w:rsidRPr="009D755A">
        <w:rPr>
          <w:u w:val="single" w:color="000000" w:themeColor="text1"/>
        </w:rPr>
        <w:t>(15)</w:t>
      </w:r>
      <w:r w:rsidRPr="009D755A">
        <w:rPr>
          <w:u w:color="000000" w:themeColor="text1"/>
        </w:rPr>
        <w:tab/>
      </w:r>
      <w:r w:rsidRPr="009D755A">
        <w:rPr>
          <w:u w:val="single" w:color="000000" w:themeColor="text1"/>
        </w:rPr>
        <w:t>Any firearms not exceeding a total value of five thousand dollars owned by the debtor.</w:t>
      </w:r>
      <w:r w:rsidRPr="009D755A">
        <w:rPr>
          <w:u w:color="000000" w:themeColor="text1"/>
        </w:rPr>
        <w:t>”</w:t>
      </w:r>
    </w:p>
    <w:p w:rsidR="003B5577" w:rsidRDefault="003B5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577">
        <w:t>2</w:t>
      </w:r>
      <w:r>
        <w:t>.</w:t>
      </w:r>
      <w:r>
        <w:tab/>
        <w:t>This act takes effect upon approval by the Governor.</w:t>
      </w:r>
    </w:p>
    <w:p w:rsidR="002C3EA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122726" w:rsidRDefault="00122726" w:rsidP="00122726">
      <w:pPr>
        <w:suppressAutoHyphens/>
      </w:pPr>
    </w:p>
    <w:sectPr w:rsidR="00122726" w:rsidSect="001227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DB2" w:rsidRDefault="00D94DB2" w:rsidP="009F0C77">
      <w:r>
        <w:separator/>
      </w:r>
    </w:p>
  </w:endnote>
  <w:endnote w:type="continuationSeparator" w:id="0">
    <w:p w:rsidR="00D94DB2" w:rsidRDefault="00D94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9B6F26-EF44-4A3D-B6B2-62D76ADBE46B}"/>
    <w:embedBold r:id="rId2" w:fontKey="{969E1B93-0C82-47EF-A3C5-A9CACD411B34}"/>
  </w:font>
  <w:font w:name="Calibri">
    <w:panose1 w:val="020F0502020204030204"/>
    <w:charset w:val="00"/>
    <w:family w:val="swiss"/>
    <w:pitch w:val="variable"/>
    <w:sig w:usb0="E00002FF" w:usb1="4000ACFF" w:usb2="00000001" w:usb3="00000000" w:csb0="0000019F" w:csb1="00000000"/>
    <w:embedRegular r:id="rId3" w:fontKey="{EE2607EF-7B49-4352-93F7-7C8527678140}"/>
  </w:font>
  <w:font w:name="Segoe UI">
    <w:panose1 w:val="020B0502040204020203"/>
    <w:charset w:val="00"/>
    <w:family w:val="swiss"/>
    <w:pitch w:val="variable"/>
    <w:sig w:usb0="E10022FF" w:usb1="C000E47F" w:usb2="00000029" w:usb3="00000000" w:csb0="000001DF" w:csb1="00000000"/>
    <w:embedRegular r:id="rId4" w:fontKey="{53E42825-43E7-4C26-BB0C-6F78BB6225B8}"/>
  </w:font>
  <w:font w:name="Cambria">
    <w:panose1 w:val="02040503050406030204"/>
    <w:charset w:val="00"/>
    <w:family w:val="roman"/>
    <w:pitch w:val="variable"/>
    <w:sig w:usb0="E00002FF" w:usb1="400004FF" w:usb2="00000000" w:usb3="00000000" w:csb0="0000019F" w:csb1="00000000"/>
    <w:embedRegular r:id="rId5" w:fontKey="{8679137A-9F55-427D-B08B-3B170B5F0F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EA4" w:rsidRPr="00122726" w:rsidRDefault="00122726" w:rsidP="00122726">
    <w:pPr>
      <w:pStyle w:val="Footer"/>
      <w:tabs>
        <w:tab w:val="clear" w:pos="4680"/>
        <w:tab w:val="clear" w:pos="9360"/>
        <w:tab w:val="center" w:pos="2995"/>
      </w:tabs>
      <w:spacing w:before="120"/>
    </w:pPr>
    <w:r>
      <w:t>[3429]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DB2" w:rsidRDefault="00D94DB2" w:rsidP="009F0C77">
      <w:r>
        <w:separator/>
      </w:r>
    </w:p>
  </w:footnote>
  <w:footnote w:type="continuationSeparator" w:id="0">
    <w:p w:rsidR="00D94DB2" w:rsidRDefault="00D94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1AHB17"/>
    <w:docVar w:name="CoverBillType" w:val="b"/>
    <w:docVar w:name="DocPath" w:val="L:\Council\bills\BH\7081AHB17.DOCX"/>
    <w:docVar w:name="dvBillNumber" w:val="3429"/>
    <w:docVar w:name="dvBillNumberPrefix" w:val="H. "/>
    <w:docVar w:name="dvOriginalBody" w:val="House"/>
    <w:docVar w:name="dvSteno" w:val="BH"/>
    <w:docVar w:name="NameofBody" w:val="h"/>
    <w:docVar w:name="vGroup2" w:val="Council"/>
  </w:docVars>
  <w:rsids>
    <w:rsidRoot w:val="00D94DB2"/>
    <w:rsid w:val="00011869"/>
    <w:rsid w:val="00015CD6"/>
    <w:rsid w:val="000E0100"/>
    <w:rsid w:val="000E1785"/>
    <w:rsid w:val="000F40FA"/>
    <w:rsid w:val="001035F1"/>
    <w:rsid w:val="0010776B"/>
    <w:rsid w:val="0012272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EA4"/>
    <w:rsid w:val="002E5912"/>
    <w:rsid w:val="00301B21"/>
    <w:rsid w:val="00325348"/>
    <w:rsid w:val="0032732C"/>
    <w:rsid w:val="00336AD0"/>
    <w:rsid w:val="0037079A"/>
    <w:rsid w:val="003B557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E24"/>
    <w:rsid w:val="007117FA"/>
    <w:rsid w:val="00734F00"/>
    <w:rsid w:val="007A70AE"/>
    <w:rsid w:val="008362E8"/>
    <w:rsid w:val="0085786E"/>
    <w:rsid w:val="008A1768"/>
    <w:rsid w:val="008A489F"/>
    <w:rsid w:val="008F0F33"/>
    <w:rsid w:val="008F4429"/>
    <w:rsid w:val="0094021A"/>
    <w:rsid w:val="0095606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2176"/>
    <w:rsid w:val="00D73A67"/>
    <w:rsid w:val="00D94DB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038959-724A-46A6-80D4-943AD53C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7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E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5801F-CA37-4B8B-9F0D-7FCB1B91B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4</Pages>
  <Words>1038</Words>
  <Characters>5240</Characters>
  <Application>Microsoft Office Word</Application>
  <DocSecurity>0</DocSecurity>
  <Lines>131</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3429 Text of Previous Version (Jan. 11, 2017) - South Carolina Legislature Online</dc:title>
  <dc:creator>%USERNAME%</dc:creator>
  <cp:lastModifiedBy>S Volk</cp:lastModifiedBy>
  <cp:revision>2</cp:revision>
  <cp:lastPrinted>2017-01-11T14:35:00Z</cp:lastPrinted>
  <dcterms:created xsi:type="dcterms:W3CDTF">2017-01-11T20:30:00Z</dcterms:created>
  <dcterms:modified xsi:type="dcterms:W3CDTF">2017-01-11T20:30:00Z</dcterms:modified>
</cp:coreProperties>
</file>