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A3D" w:rsidRP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24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A70A3D"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A70A3D">
        <w:rPr>
          <w:rFonts w:eastAsia="Times New Roman"/>
        </w:rPr>
        <w:t>, 2017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right" w:pos="5933"/>
        </w:tabs>
        <w:suppressAutoHyphens/>
        <w:jc w:val="both"/>
        <w:rPr>
          <w:rFonts w:eastAsia="Times New Roman"/>
        </w:rPr>
      </w:pPr>
      <w:r>
        <w:rPr>
          <w:rFonts w:eastAsia="Times New Roman"/>
        </w:rPr>
        <w:tab/>
      </w:r>
      <w:r>
        <w:rPr>
          <w:rFonts w:eastAsia="Times New Roman"/>
          <w:b/>
          <w:sz w:val="36"/>
        </w:rPr>
        <w:t>S. 367</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0FD5">
        <w:t>Senator Alexander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F61294" w:rsidP="00E639CC">
      <w:pPr>
        <w:tabs>
          <w:tab w:val="right" w:pos="5933"/>
        </w:tabs>
        <w:suppressAutoHyphens/>
        <w:jc w:val="both"/>
        <w:rPr>
          <w:rFonts w:eastAsia="Times New Roman"/>
        </w:rPr>
      </w:pPr>
      <w:r>
        <w:rPr>
          <w:rFonts w:eastAsia="Times New Roman"/>
        </w:rPr>
        <w:t>S. Printed 4/6</w:t>
      </w:r>
      <w:r w:rsidR="00A70A3D">
        <w:rPr>
          <w:rFonts w:eastAsia="Times New Roman"/>
        </w:rPr>
        <w:t>/17--S.</w:t>
      </w:r>
      <w:r w:rsidR="00E639CC">
        <w:rPr>
          <w:rFonts w:eastAsia="Times New Roman"/>
        </w:rPr>
        <w:tab/>
        <w:t>[SEC 4/7/17 12:00 PM]</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2017.</w:t>
      </w: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Pr="00A70A3D" w:rsidRDefault="00A70A3D" w:rsidP="00A7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0A3D" w:rsidSect="00A70A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95F5E" w:rsidRPr="00522CE0" w:rsidRDefault="00295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B49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sidR="004B35C5">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bookmarkEnd w:id="1"/>
    </w:p>
    <w:p w:rsidR="00522CE0"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61294"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F2158F">
        <w:rPr>
          <w:color w:val="000000" w:themeColor="text1"/>
          <w:u w:color="000000" w:themeColor="text1"/>
        </w:rPr>
        <w:t>Section 50</w:t>
      </w:r>
      <w:r w:rsidRPr="00F2158F">
        <w:rPr>
          <w:color w:val="000000" w:themeColor="text1"/>
          <w:u w:color="000000" w:themeColor="text1"/>
        </w:rPr>
        <w:noBreakHyphen/>
        <w:t>21</w:t>
      </w:r>
      <w:r w:rsidRPr="00F2158F">
        <w:rPr>
          <w:color w:val="000000" w:themeColor="text1"/>
          <w:u w:color="000000" w:themeColor="text1"/>
        </w:rPr>
        <w:noBreakHyphen/>
        <w:t>870(B) of the 1976 Code is amended to read:</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No person may:</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(1)(a)</w:t>
      </w:r>
      <w:r>
        <w:rPr>
          <w:color w:val="000000" w:themeColor="text1"/>
          <w:u w:color="000000" w:themeColor="text1"/>
        </w:rPr>
        <w:tab/>
      </w:r>
      <w:r w:rsidRPr="00F2158F">
        <w:rPr>
          <w:color w:val="000000" w:themeColor="text1"/>
          <w:u w:color="000000" w:themeColor="text1"/>
        </w:rPr>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 xml:space="preserve">operate, be in possession of, or give permission to operate a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while upon the waters of this State unless each person under the age of twelve aboard the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is wearing a United States Coast Guard approved personal flotation device, Type I, Type II, Type III, or Type V;</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lastRenderedPageBreak/>
        <w:tab/>
        <w:t>Each personal flotation device must be fastened properly, in good and serviceable condition, and the proper size for the person wearing it;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(2)</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after sunset or before sunrise;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(3)</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unless it is equipped with a self</w:t>
      </w:r>
      <w:r w:rsidRPr="00F2158F">
        <w:rPr>
          <w:color w:val="000000" w:themeColor="text1"/>
          <w:u w:color="000000" w:themeColor="text1"/>
        </w:rPr>
        <w:noBreakHyphen/>
        <w:t>circling device or a lanyard</w:t>
      </w:r>
      <w:r w:rsidRPr="00F2158F">
        <w:rPr>
          <w:color w:val="000000" w:themeColor="text1"/>
          <w:u w:color="000000" w:themeColor="text1"/>
        </w:rPr>
        <w:noBreakHyphen/>
        <w:t>type engine cutoff switch;</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(4)</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lanyard</w:t>
      </w:r>
      <w:r w:rsidRPr="00F2158F">
        <w:rPr>
          <w:color w:val="000000" w:themeColor="text1"/>
          <w:u w:color="000000" w:themeColor="text1"/>
        </w:rPr>
        <w:noBreakHyphen/>
        <w:t>type engine cutoff switch unless the lanyard and the switch are operational and unless the lanyard is attached to the operator, the operator's clothing, or a personal flotation device worn by the operator;</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(5)</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self</w:t>
      </w:r>
      <w:r w:rsidRPr="00F2158F">
        <w:rPr>
          <w:color w:val="000000" w:themeColor="text1"/>
          <w:u w:color="000000" w:themeColor="text1"/>
        </w:rPr>
        <w:noBreakHyphen/>
        <w:t>circling device if the self</w:t>
      </w:r>
      <w:r w:rsidRPr="00F2158F">
        <w:rPr>
          <w:color w:val="000000" w:themeColor="text1"/>
          <w:u w:color="000000" w:themeColor="text1"/>
        </w:rPr>
        <w:noBreakHyphen/>
        <w:t>circling device or the engine throttle has been altered in a way that would prohibit the self</w:t>
      </w:r>
      <w:r w:rsidRPr="00F2158F">
        <w:rPr>
          <w:color w:val="000000" w:themeColor="text1"/>
          <w:u w:color="000000" w:themeColor="text1"/>
        </w:rPr>
        <w:noBreakHyphen/>
        <w:t>circling device from operating in its intended manner;</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2158F">
        <w:rPr>
          <w:color w:val="000000" w:themeColor="text1"/>
          <w:u w:color="000000" w:themeColor="text1"/>
        </w:rPr>
        <w:t>(6)</w:t>
      </w:r>
      <w:r w:rsidRPr="00F2158F">
        <w:rPr>
          <w:color w:val="000000" w:themeColor="text1"/>
          <w:u w:color="000000" w:themeColor="text1"/>
        </w:rPr>
        <w:tab/>
        <w:t xml:space="preserve">operate a personal watercraft, specialty propcraft, or vessel while upon the waters of </w:t>
      </w:r>
      <w:r w:rsidRPr="00F2158F">
        <w:rPr>
          <w:strike/>
          <w:color w:val="000000" w:themeColor="text1"/>
          <w:u w:color="000000" w:themeColor="text1"/>
        </w:rPr>
        <w:t>this State</w:t>
      </w:r>
      <w:r>
        <w:rPr>
          <w:color w:val="000000" w:themeColor="text1"/>
          <w:u w:color="000000" w:themeColor="text1"/>
        </w:rPr>
        <w:t xml:space="preserve"> </w:t>
      </w:r>
      <w:r>
        <w:rPr>
          <w:color w:val="000000" w:themeColor="text1"/>
          <w:u w:val="single" w:color="000000" w:themeColor="text1"/>
        </w:rPr>
        <w:t>Lake Greenwood, Lake Hartwell, Lake Jocassee, Lake Keowee, Lake Marion, Lake Monticello, Lake Murray, Lake Robinson, Lake Russell, Lake Secession, Lake Thurmond, Lake Wateree, Lake Wylie, Fishing Creek Reservoir, or Parr Reservoir</w:t>
      </w:r>
      <w:r w:rsidRPr="00F2158F">
        <w:rPr>
          <w:color w:val="000000" w:themeColor="text1"/>
          <w:u w:color="000000" w:themeColor="text1"/>
        </w:rPr>
        <w:t xml:space="preserve"> in excess of idle speed within </w:t>
      </w:r>
      <w:r w:rsidRPr="00F2158F">
        <w:rPr>
          <w:strike/>
          <w:color w:val="000000" w:themeColor="text1"/>
          <w:u w:color="000000" w:themeColor="text1"/>
        </w:rPr>
        <w:t>50</w:t>
      </w:r>
      <w:r w:rsidRPr="00F2158F">
        <w:rPr>
          <w:color w:val="000000" w:themeColor="text1"/>
          <w:u w:color="000000" w:themeColor="text1"/>
        </w:rPr>
        <w:t xml:space="preserve"> </w:t>
      </w:r>
      <w:r w:rsidRPr="00F2158F">
        <w:rPr>
          <w:color w:val="000000" w:themeColor="text1"/>
          <w:u w:val="single" w:color="000000" w:themeColor="text1"/>
        </w:rPr>
        <w:t>one hundred</w:t>
      </w:r>
      <w:r w:rsidRPr="00F2158F">
        <w:rPr>
          <w:color w:val="000000" w:themeColor="text1"/>
          <w:u w:color="000000" w:themeColor="text1"/>
        </w:rPr>
        <w:t xml:space="preserve"> feet of a moored or an anchored vessel, wharf, dock, bulkhead, pier, or a person in the water</w:t>
      </w:r>
      <w:r w:rsidRPr="00F2158F">
        <w:rPr>
          <w:strike/>
          <w:color w:val="000000" w:themeColor="text1"/>
          <w:u w:color="000000" w:themeColor="text1"/>
        </w:rPr>
        <w:t>, or within 100 yards of the Atlantic Ocean coast line</w:t>
      </w:r>
      <w:r w:rsidRPr="00F2158F">
        <w:rPr>
          <w:color w:val="000000" w:themeColor="text1"/>
          <w:u w:color="000000" w:themeColor="text1"/>
        </w:rPr>
        <w:t xml:space="preserve">. The prohibitions contained in this item </w:t>
      </w:r>
      <w:r w:rsidRPr="00E3731E">
        <w:rPr>
          <w:strike/>
          <w:color w:val="000000" w:themeColor="text1"/>
          <w:u w:color="000000" w:themeColor="text1"/>
        </w:rPr>
        <w:t>(6)</w:t>
      </w:r>
      <w:r w:rsidRPr="00F2158F">
        <w:rPr>
          <w:color w:val="000000" w:themeColor="text1"/>
          <w:u w:color="000000" w:themeColor="text1"/>
        </w:rPr>
        <w:t xml:space="preserve"> do not apply to an unoccupied, moored vessel or watercraft;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w:t>
      </w:r>
      <w:r w:rsidR="00E639CC">
        <w:rPr>
          <w:color w:val="000000" w:themeColor="text1"/>
          <w:u w:val="single" w:color="000000" w:themeColor="text1"/>
        </w:rPr>
        <w:t>rds of the Atlantic Ocean coast</w:t>
      </w:r>
      <w:r>
        <w:rPr>
          <w:color w:val="000000" w:themeColor="text1"/>
          <w:u w:val="single" w:color="000000" w:themeColor="text1"/>
        </w:rPr>
        <w:t>line. The prohibitions contained in this item do not apply to an unoccupied, moored vessel or watercraft;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158F">
        <w:rPr>
          <w:rFonts w:eastAsia="Times New Roman"/>
          <w:strike/>
        </w:rPr>
        <w:t>(7)</w:t>
      </w:r>
      <w:r>
        <w:rPr>
          <w:rFonts w:eastAsia="Times New Roman"/>
          <w:u w:val="single"/>
        </w:rPr>
        <w:t>(8)</w:t>
      </w:r>
      <w:r>
        <w:rPr>
          <w:rFonts w:eastAsia="Times New Roman"/>
        </w:rPr>
        <w:tab/>
      </w:r>
      <w:r w:rsidRPr="00F2158F">
        <w:rPr>
          <w:rFonts w:eastAsia="Times New Roman"/>
        </w:rPr>
        <w:t>chase, harass, molest, worry, or disturb wildlife with a personal watercraft, specialty propcraft, or vessel except while lawfully angling for, hunting, or trapping wildlife;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(8)</w:t>
      </w:r>
      <w:r>
        <w:rPr>
          <w:rFonts w:eastAsia="Times New Roman"/>
          <w:u w:val="single"/>
        </w:rPr>
        <w:t>(9)</w:t>
      </w:r>
      <w:r>
        <w:rPr>
          <w:rFonts w:eastAsia="Times New Roman"/>
        </w:rPr>
        <w:tab/>
      </w:r>
      <w:r w:rsidRPr="00F2158F">
        <w:rPr>
          <w:rFonts w:eastAsia="Times New Roman"/>
        </w:rPr>
        <w:t xml:space="preserve">tow a water skier or a person on a floating device with a personal watercraft or specialty propcraft unless the watercraft is </w:t>
      </w:r>
      <w:r w:rsidRPr="00F2158F">
        <w:rPr>
          <w:rFonts w:eastAsia="Times New Roman"/>
        </w:rPr>
        <w:lastRenderedPageBreak/>
        <w:t>equipped with a wide</w:t>
      </w:r>
      <w:r w:rsidRPr="00F2158F">
        <w:rPr>
          <w:rFonts w:eastAsia="Times New Roman"/>
        </w:rPr>
        <w:noBreakHyphen/>
        <w:t>angled mirror which permits the operator to observe the person being towed or carrying a person other than the 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(9)</w:t>
      </w:r>
      <w:r>
        <w:rPr>
          <w:rFonts w:eastAsia="Times New Roman"/>
          <w:u w:val="single"/>
        </w:rPr>
        <w:t>(10)</w:t>
      </w:r>
      <w:r w:rsidRPr="00F2158F">
        <w:rPr>
          <w:rFonts w:eastAsia="Times New Roman"/>
        </w:rPr>
        <w:t>(a)</w:t>
      </w:r>
      <w:r>
        <w:rPr>
          <w:rFonts w:eastAsia="Times New Roman"/>
        </w:rPr>
        <w:tab/>
      </w:r>
      <w:r w:rsidRPr="00F2158F">
        <w:rPr>
          <w:rFonts w:eastAsia="Times New Roman"/>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w:t>
      </w:r>
      <w:r>
        <w:rPr>
          <w:rFonts w:eastAsia="Times New Roman"/>
        </w:rPr>
        <w:tab/>
      </w:r>
      <w:r w:rsidR="00E639CC">
        <w:rPr>
          <w:rFonts w:eastAsia="Times New Roman"/>
        </w:rPr>
        <w:tab/>
      </w:r>
      <w:r w:rsidRPr="00F2158F">
        <w:rPr>
          <w:rFonts w:eastAsia="Times New Roman"/>
        </w:rPr>
        <w:t>the person completes a boating safety program as administered by the Department of Natural Resources; or</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w:t>
      </w:r>
      <w:r>
        <w:rPr>
          <w:rFonts w:eastAsia="Times New Roman"/>
        </w:rPr>
        <w:tab/>
      </w:r>
      <w:r w:rsidRPr="00F2158F">
        <w:rPr>
          <w:rFonts w:eastAsia="Times New Roman"/>
        </w:rPr>
        <w:t>the person completes a boating safety program approved by the Department of Natural Resources;</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(iii)</w:t>
      </w:r>
      <w:r>
        <w:rPr>
          <w:rFonts w:eastAsia="Times New Roman"/>
        </w:rPr>
        <w:tab/>
      </w:r>
      <w:r w:rsidRPr="00F2158F">
        <w:rPr>
          <w:rFonts w:eastAsia="Times New Roman"/>
        </w:rPr>
        <w:t>anyone operating a vessel with less than fifteen horsepower engine will not be required to take the boating safety program.</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(b)</w:t>
      </w:r>
      <w:r>
        <w:rPr>
          <w:rFonts w:eastAsia="Times New Roman"/>
        </w:rPr>
        <w:tab/>
      </w:r>
      <w:r w:rsidRPr="00F2158F">
        <w:rPr>
          <w:rFonts w:eastAsia="Times New Roman"/>
        </w:rPr>
        <w:t>It is unlawful for a person who has temporary or permanent responsibility for a child to knowingly or wilfully violate item (9) of subsection (B).</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(c)</w:t>
      </w:r>
      <w:r>
        <w:rPr>
          <w:rFonts w:eastAsia="Times New Roman"/>
        </w:rPr>
        <w:tab/>
      </w:r>
      <w:r w:rsidRPr="00F2158F">
        <w:rPr>
          <w:rFonts w:eastAsia="Times New Roman"/>
        </w:rPr>
        <w:t>The Department of Natural Resources shall promulgate regulations relating to boating safety programs administered by the department or subject to its approval.</w:t>
      </w:r>
      <w:r>
        <w:rPr>
          <w:rFonts w:eastAsia="Times New Roman"/>
        </w:rPr>
        <w: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Pr="00522CE0"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SECTION</w:t>
      </w:r>
      <w:r w:rsidRPr="00F2158F">
        <w:rPr>
          <w:rFonts w:eastAsia="Times New Roman"/>
        </w:rPr>
        <w:tab/>
        <w:t>2.</w:t>
      </w:r>
      <w:r w:rsidRPr="00F2158F">
        <w:rPr>
          <w:rFonts w:eastAsia="Times New Roman"/>
        </w:rPr>
        <w:tab/>
        <w:t>This act takes effect upon approval by the Governor.</w:t>
      </w:r>
    </w:p>
    <w:p w:rsidR="007528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0163" w:rsidRDefault="00F70163" w:rsidP="00F70163">
      <w:pPr>
        <w:suppressAutoHyphens/>
        <w:jc w:val="both"/>
        <w:rPr>
          <w:rFonts w:eastAsia="Times New Roman"/>
        </w:rPr>
      </w:pPr>
    </w:p>
    <w:sectPr w:rsidR="00F70163" w:rsidSect="00A70A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69B806-249B-4A77-933A-B56F33B40B33}"/>
    <w:embedBold r:id="rId2" w:fontKey="{62FE71B0-E2B7-452B-87ED-B196528D49D2}"/>
  </w:font>
  <w:font w:name="Calibri">
    <w:panose1 w:val="020F0502020204030204"/>
    <w:charset w:val="00"/>
    <w:family w:val="swiss"/>
    <w:pitch w:val="variable"/>
    <w:sig w:usb0="E00002FF" w:usb1="4000ACFF" w:usb2="00000001" w:usb3="00000000" w:csb0="0000019F" w:csb1="00000000"/>
    <w:embedRegular r:id="rId3" w:fontKey="{E2FFC397-4B6F-42B1-84B2-103226EB8503}"/>
  </w:font>
  <w:font w:name="Segoe UI">
    <w:panose1 w:val="020B0502040204020203"/>
    <w:charset w:val="00"/>
    <w:family w:val="swiss"/>
    <w:pitch w:val="variable"/>
    <w:sig w:usb0="E10022FF" w:usb1="C000E47F" w:usb2="00000029" w:usb3="00000000" w:csb0="000001DF" w:csb1="00000000"/>
    <w:embedRegular r:id="rId4" w:fontKey="{330AA73C-7BC0-4017-817C-59D436488232}"/>
  </w:font>
  <w:font w:name="Cambria">
    <w:panose1 w:val="02040503050406030204"/>
    <w:charset w:val="00"/>
    <w:family w:val="roman"/>
    <w:pitch w:val="variable"/>
    <w:sig w:usb0="E00002FF" w:usb1="400004FF" w:usb2="00000000" w:usb3="00000000" w:csb0="0000019F" w:csb1="00000000"/>
    <w:embedRegular r:id="rId5" w:fontKey="{6809D30C-AFE8-46E4-8FAD-86D7DCA59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2E" w:rsidRPr="00295F5E" w:rsidRDefault="00295F5E" w:rsidP="00295F5E">
    <w:pPr>
      <w:pStyle w:val="Footer"/>
      <w:tabs>
        <w:tab w:val="clear" w:pos="4680"/>
        <w:tab w:val="clear" w:pos="9360"/>
        <w:tab w:val="center" w:pos="2995"/>
      </w:tabs>
      <w:spacing w:before="120"/>
    </w:pPr>
    <w:r>
      <w:t>[367</w:t>
    </w:r>
    <w:r w:rsidR="00A70A3D">
      <w:t>-</w:t>
    </w:r>
    <w:r w:rsidR="00A70A3D">
      <w:fldChar w:fldCharType="begin"/>
    </w:r>
    <w:r w:rsidR="00A70A3D">
      <w:instrText xml:space="preserve"> PAGE  \* MERGEFORMAT </w:instrText>
    </w:r>
    <w:r w:rsidR="00A70A3D">
      <w:fldChar w:fldCharType="separate"/>
    </w:r>
    <w:r w:rsidR="00E639CC">
      <w:rPr>
        <w:noProof/>
      </w:rPr>
      <w:t>1</w:t>
    </w:r>
    <w:r w:rsidR="00A70A3D">
      <w:fldChar w:fldCharType="end"/>
    </w:r>
    <w:r w:rsidR="00A70A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3D" w:rsidRPr="00295F5E" w:rsidRDefault="00A70A3D"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F701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17CAA"/>
    <w:rsid w:val="00042AC1"/>
    <w:rsid w:val="00046516"/>
    <w:rsid w:val="00072458"/>
    <w:rsid w:val="0007601D"/>
    <w:rsid w:val="000B0720"/>
    <w:rsid w:val="000B5EAF"/>
    <w:rsid w:val="001315B2"/>
    <w:rsid w:val="00161385"/>
    <w:rsid w:val="00170561"/>
    <w:rsid w:val="001724B0"/>
    <w:rsid w:val="00186AC9"/>
    <w:rsid w:val="00197DF1"/>
    <w:rsid w:val="001B3DD9"/>
    <w:rsid w:val="001B7E5D"/>
    <w:rsid w:val="001D3BAC"/>
    <w:rsid w:val="00216025"/>
    <w:rsid w:val="00245C4E"/>
    <w:rsid w:val="00295F5E"/>
    <w:rsid w:val="002B49F0"/>
    <w:rsid w:val="002C1321"/>
    <w:rsid w:val="002C2031"/>
    <w:rsid w:val="002C5896"/>
    <w:rsid w:val="002D3BED"/>
    <w:rsid w:val="00307C2B"/>
    <w:rsid w:val="00315D04"/>
    <w:rsid w:val="0035617F"/>
    <w:rsid w:val="00383247"/>
    <w:rsid w:val="003D37AB"/>
    <w:rsid w:val="003D6E2B"/>
    <w:rsid w:val="003E7597"/>
    <w:rsid w:val="00413EBF"/>
    <w:rsid w:val="0044020F"/>
    <w:rsid w:val="00450668"/>
    <w:rsid w:val="004533B5"/>
    <w:rsid w:val="00454138"/>
    <w:rsid w:val="004813A2"/>
    <w:rsid w:val="004952FA"/>
    <w:rsid w:val="004B35C5"/>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282E"/>
    <w:rsid w:val="00765784"/>
    <w:rsid w:val="007A4390"/>
    <w:rsid w:val="007E5CB7"/>
    <w:rsid w:val="007F0433"/>
    <w:rsid w:val="008314D2"/>
    <w:rsid w:val="00870F6F"/>
    <w:rsid w:val="008B2F42"/>
    <w:rsid w:val="008C3697"/>
    <w:rsid w:val="008D7B6C"/>
    <w:rsid w:val="008E185F"/>
    <w:rsid w:val="008F023B"/>
    <w:rsid w:val="00904E16"/>
    <w:rsid w:val="009162B3"/>
    <w:rsid w:val="00927C62"/>
    <w:rsid w:val="00983951"/>
    <w:rsid w:val="00984124"/>
    <w:rsid w:val="00984640"/>
    <w:rsid w:val="00995C37"/>
    <w:rsid w:val="009C118A"/>
    <w:rsid w:val="00A02011"/>
    <w:rsid w:val="00A24C28"/>
    <w:rsid w:val="00A4011E"/>
    <w:rsid w:val="00A70A3D"/>
    <w:rsid w:val="00A86015"/>
    <w:rsid w:val="00A9594E"/>
    <w:rsid w:val="00AE59C8"/>
    <w:rsid w:val="00B10098"/>
    <w:rsid w:val="00B5790D"/>
    <w:rsid w:val="00B945C5"/>
    <w:rsid w:val="00BA20EA"/>
    <w:rsid w:val="00BB5AFC"/>
    <w:rsid w:val="00BC0A56"/>
    <w:rsid w:val="00BD667C"/>
    <w:rsid w:val="00C45366"/>
    <w:rsid w:val="00C57023"/>
    <w:rsid w:val="00C74052"/>
    <w:rsid w:val="00CB187A"/>
    <w:rsid w:val="00CC0EC7"/>
    <w:rsid w:val="00CC251A"/>
    <w:rsid w:val="00CF2C98"/>
    <w:rsid w:val="00D1088B"/>
    <w:rsid w:val="00D1286F"/>
    <w:rsid w:val="00D14DE6"/>
    <w:rsid w:val="00D156D2"/>
    <w:rsid w:val="00D22860"/>
    <w:rsid w:val="00D35486"/>
    <w:rsid w:val="00D53E29"/>
    <w:rsid w:val="00D86943"/>
    <w:rsid w:val="00DA3C6B"/>
    <w:rsid w:val="00DA47B9"/>
    <w:rsid w:val="00DE5635"/>
    <w:rsid w:val="00E058D3"/>
    <w:rsid w:val="00E12CA0"/>
    <w:rsid w:val="00E2236D"/>
    <w:rsid w:val="00E639CC"/>
    <w:rsid w:val="00E76AD9"/>
    <w:rsid w:val="00E91E2F"/>
    <w:rsid w:val="00EA3546"/>
    <w:rsid w:val="00EB47AE"/>
    <w:rsid w:val="00EC34E1"/>
    <w:rsid w:val="00F0234A"/>
    <w:rsid w:val="00F05CF2"/>
    <w:rsid w:val="00F51241"/>
    <w:rsid w:val="00F52959"/>
    <w:rsid w:val="00F55884"/>
    <w:rsid w:val="00F61294"/>
    <w:rsid w:val="00F70163"/>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C297916D.dotm</Template>
  <TotalTime>0</TotalTime>
  <Pages>4</Pages>
  <Words>928</Words>
  <Characters>4721</Characters>
  <Application>Microsoft Office Word</Application>
  <DocSecurity>0</DocSecurity>
  <Lines>129</Lines>
  <Paragraphs>33</Paragraphs>
  <ScaleCrop>false</ScaleCrop>
  <HeadingPairs>
    <vt:vector size="2" baseType="variant">
      <vt:variant>
        <vt:lpstr>Title</vt:lpstr>
      </vt:variant>
      <vt:variant>
        <vt:i4>1</vt:i4>
      </vt:variant>
    </vt:vector>
  </HeadingPairs>
  <TitlesOfParts>
    <vt:vector size="1" baseType="lpstr">
      <vt:lpstr>2017-2018 Bill 367 Text of Previous Version (Feb. 7, 2017) - South Carolina Legislature Online</vt:lpstr>
    </vt:vector>
  </TitlesOfParts>
  <Company> </Company>
  <LinksUpToDate>false</LinksUpToDate>
  <CharactersWithSpaces>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Text of Previous Version (Apr. 7, 2017) - South Carolina Legislature Online</dc:title>
  <dc:subject/>
  <dc:creator>Rebecca Landau</dc:creator>
  <cp:keywords/>
  <dc:description/>
  <cp:lastModifiedBy>Lavarres Lynch</cp:lastModifiedBy>
  <cp:revision>2</cp:revision>
  <cp:lastPrinted>2017-04-06T17:44:00Z</cp:lastPrinted>
  <dcterms:created xsi:type="dcterms:W3CDTF">2017-04-07T16:00:00Z</dcterms:created>
  <dcterms:modified xsi:type="dcterms:W3CDTF">2017-04-07T16:00:00Z</dcterms:modified>
</cp:coreProperties>
</file>