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4B35" w:rsidRP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2E30AA"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53BB5" w:rsidRDefault="002E30AA"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w:t>
      </w:r>
      <w:r w:rsidR="00453BB5">
        <w:t>, 2017</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Pr="00453BB5" w:rsidRDefault="00453BB5" w:rsidP="00453BB5">
      <w:pPr>
        <w:tabs>
          <w:tab w:val="right" w:pos="5933"/>
        </w:tabs>
        <w:suppressAutoHyphens/>
      </w:pPr>
      <w:r>
        <w:tab/>
      </w:r>
      <w:r>
        <w:rPr>
          <w:b/>
          <w:sz w:val="36"/>
        </w:rPr>
        <w:t>H. 3726</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660E">
        <w:t>Reps. Herbkersman, Cobb</w:t>
      </w:r>
      <w:r w:rsidRPr="005F660E">
        <w:noBreakHyphen/>
        <w:t>Hunter, Anthony, Whitmire, Stringer, Bradley, Lucas and White</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2E30AA" w:rsidP="00123826">
      <w:pPr>
        <w:tabs>
          <w:tab w:val="right" w:pos="5933"/>
        </w:tabs>
        <w:suppressAutoHyphens/>
      </w:pPr>
      <w:r>
        <w:t>S. Printed 3/9</w:t>
      </w:r>
      <w:r w:rsidR="00453BB5">
        <w:t>/17--S.</w:t>
      </w:r>
      <w:r w:rsidR="00123826">
        <w:tab/>
        <w:t>[SEC 3/10/17 2:12 PM]</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2017.</w:t>
      </w:r>
    </w:p>
    <w:p w:rsidR="00453BB5"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454A3" w:rsidRPr="00453BB5" w:rsidRDefault="00D454A3"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3BB5"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3BB5" w:rsidSect="00824B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4968FE" w:rsidP="00B650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F663E9">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250 RELATING TO POLICY DETERMINATIONS AND THE CUSTODY OF FUNDS FOR THE RETIREMENT SYSTEM FOR JUDGES AND SOLICITORS, THE RETIREMENT SYSTEM FOR MEMBERS OF THE GENERAL ASSEMBLY, THE NATIONAL GUARD </w:t>
      </w:r>
      <w:r w:rsidRPr="00D7127D">
        <w:rPr>
          <w:color w:val="000000" w:themeColor="text1"/>
          <w:u w:color="000000" w:themeColor="text1"/>
        </w:rPr>
        <w:lastRenderedPageBreak/>
        <w:t>RETIREMENT SYSTEM, AND THE POLICE OFFICERS RETIREMENT SYSTEM.</w:t>
      </w:r>
      <w:bookmarkEnd w:id="1"/>
    </w:p>
    <w:p w:rsidR="00B65065" w:rsidRDefault="002E3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30AA" w:rsidRDefault="002E3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27DB4">
        <w:rPr>
          <w:u w:color="000000" w:themeColor="text1"/>
        </w:rPr>
        <w:t>Part I</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Funding of the Retirement System</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Pr="00727DB4">
        <w:rPr>
          <w:u w:color="000000" w:themeColor="text1"/>
        </w:rPr>
        <w:tab/>
        <w:t>Section 9</w:t>
      </w:r>
      <w:r w:rsidRPr="00727DB4">
        <w:rPr>
          <w:u w:color="000000" w:themeColor="text1"/>
        </w:rPr>
        <w:noBreakHyphen/>
        <w:t>1</w:t>
      </w:r>
      <w:r w:rsidRPr="00727DB4">
        <w:rPr>
          <w:u w:color="000000" w:themeColor="text1"/>
        </w:rPr>
        <w:noBreakHyphen/>
        <w:t xml:space="preserve">1085 of the 1976 Code, as added by Act 278 of 2012, is amended to read: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Pr="00727DB4">
        <w:t>“</w:t>
      </w:r>
      <w:r w:rsidRPr="00727DB4">
        <w:rPr>
          <w:u w:color="000000" w:themeColor="text1"/>
        </w:rPr>
        <w:t>Section 9</w:t>
      </w:r>
      <w:r w:rsidRPr="00727DB4">
        <w:rPr>
          <w:u w:color="000000" w:themeColor="text1"/>
        </w:rPr>
        <w:noBreakHyphen/>
        <w:t>1</w:t>
      </w:r>
      <w:r w:rsidRPr="00727DB4">
        <w:rPr>
          <w:u w:color="000000" w:themeColor="text1"/>
        </w:rPr>
        <w:noBreakHyphen/>
        <w:t>1085.</w:t>
      </w:r>
      <w:r w:rsidRPr="00727DB4">
        <w:rPr>
          <w:u w:color="000000" w:themeColor="text1"/>
        </w:rPr>
        <w:tab/>
        <w:t>(A)</w:t>
      </w:r>
      <w:r w:rsidRPr="00727DB4">
        <w:rPr>
          <w:u w:color="000000" w:themeColor="text1"/>
        </w:rPr>
        <w:tab/>
        <w:t>As provided in Sections 9</w:t>
      </w:r>
      <w:r w:rsidRPr="00727DB4">
        <w:rPr>
          <w:u w:color="000000" w:themeColor="text1"/>
        </w:rPr>
        <w:noBreakHyphen/>
        <w:t>1</w:t>
      </w:r>
      <w:r w:rsidRPr="00727DB4">
        <w:rPr>
          <w:u w:color="000000" w:themeColor="text1"/>
        </w:rPr>
        <w:noBreakHyphen/>
        <w:t>1020 and 9</w:t>
      </w:r>
      <w:r w:rsidRPr="00727DB4">
        <w:rPr>
          <w:u w:color="000000" w:themeColor="text1"/>
        </w:rPr>
        <w:noBreakHyphen/>
        <w:t>1</w:t>
      </w:r>
      <w:r w:rsidRPr="00727DB4">
        <w:rPr>
          <w:u w:color="000000" w:themeColor="text1"/>
        </w:rPr>
        <w:noBreakHyphen/>
        <w:t xml:space="preserve">1050, the employer and employee contribution rates for the system beginning in Fiscal Year </w:t>
      </w:r>
      <w:r w:rsidRPr="00727DB4">
        <w:rPr>
          <w:strike/>
          <w:u w:color="000000" w:themeColor="text1"/>
        </w:rPr>
        <w:t>2012</w:t>
      </w:r>
      <w:r w:rsidRPr="00727DB4">
        <w:rPr>
          <w:strike/>
          <w:u w:color="000000" w:themeColor="text1"/>
        </w:rPr>
        <w:noBreakHyphen/>
        <w:t>2013</w:t>
      </w:r>
      <w:r w:rsidRPr="00727DB4">
        <w:rPr>
          <w:u w:color="000000" w:themeColor="text1"/>
        </w:rPr>
        <w:t xml:space="preserve"> </w:t>
      </w:r>
      <w:r w:rsidRPr="00727DB4">
        <w:rPr>
          <w:u w:val="single" w:color="000000" w:themeColor="text1"/>
        </w:rPr>
        <w:t>2017</w:t>
      </w:r>
      <w:r w:rsidRPr="00727DB4">
        <w:rPr>
          <w:u w:val="single" w:color="000000" w:themeColor="text1"/>
        </w:rPr>
        <w:noBreakHyphen/>
        <w:t>2018</w:t>
      </w:r>
      <w:r w:rsidRPr="00727DB4">
        <w:rPr>
          <w:u w:color="000000" w:themeColor="text1"/>
        </w:rPr>
        <w:t>, expressed as a percentage of earnable compensation, are as follows: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r>
      <w:r w:rsidRPr="00727DB4">
        <w:rPr>
          <w:u w:color="000000" w:themeColor="text1"/>
        </w:rPr>
        <w:tab/>
        <w:t>Employee Contribution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10.90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13.56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14.56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15.56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w:t>
      </w:r>
      <w:r w:rsidRPr="00727DB4">
        <w:rPr>
          <w:u w:color="000000" w:themeColor="text1"/>
        </w:rPr>
        <w:noBreakHyphen/>
        <w:t>1770 and 9</w:t>
      </w:r>
      <w:r w:rsidRPr="00727DB4">
        <w:rPr>
          <w:u w:color="000000" w:themeColor="text1"/>
        </w:rPr>
        <w:noBreakHyphen/>
        <w:t>1</w:t>
      </w:r>
      <w:r w:rsidRPr="00727DB4">
        <w:rPr>
          <w:u w:color="000000" w:themeColor="text1"/>
        </w:rPr>
        <w:noBreakHyphen/>
        <w:t>1775. The employer contribution rate for employers that do not participate in the incidental death benefit plan must be adjusted accordingly.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xml:space="preserve">, but any such increase may not result in a differential between the employee and employer </w:t>
      </w:r>
      <w:r w:rsidRPr="00727DB4">
        <w:rPr>
          <w:strike/>
          <w:u w:color="000000" w:themeColor="text1"/>
        </w:rPr>
        <w:lastRenderedPageBreak/>
        <w:t>contribution rate for the system that exceeds 2.9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Pr="00727DB4">
        <w:rPr>
          <w:u w:color="000000" w:themeColor="text1"/>
        </w:rPr>
        <w:noBreakHyphen/>
        <w:t xml:space="preserve">half of one percent of earnable compensation in any one year.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Pr="00727DB4">
        <w:rPr>
          <w:u w:val="single" w:color="000000" w:themeColor="text1"/>
        </w:rPr>
        <w:noBreakHyphen/>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val="single" w:color="000000" w:themeColor="text1"/>
        </w:rPr>
        <w:t>2027</w:t>
      </w:r>
      <w:r w:rsidRPr="00727DB4">
        <w:rPr>
          <w:u w:val="single" w:color="000000" w:themeColor="text1"/>
        </w:rPr>
        <w:noBreakHyphen/>
        <w:t>2028 and after</w:t>
      </w:r>
      <w:r w:rsidRPr="00727DB4">
        <w:rPr>
          <w:u w:color="000000" w:themeColor="text1"/>
        </w:rPr>
        <w:tab/>
      </w:r>
      <w:r w:rsidRPr="00727DB4">
        <w:rPr>
          <w:u w:color="000000" w:themeColor="text1"/>
        </w:rPr>
        <w:tab/>
      </w:r>
      <w:r w:rsidRPr="00727DB4">
        <w:rPr>
          <w:u w:val="single" w:color="000000" w:themeColor="text1"/>
        </w:rPr>
        <w:t>20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Pr="00727DB4">
        <w:rPr>
          <w:u w:color="000000" w:themeColor="text1"/>
        </w:rPr>
        <w:noBreakHyphen/>
        <w:t>half</w:t>
      </w:r>
      <w:r>
        <w:rPr>
          <w:u w:color="000000" w:themeColor="text1"/>
        </w:rPr>
        <w:t xml:space="preserve"> </w:t>
      </w:r>
      <w:r>
        <w:rPr>
          <w:u w:val="single"/>
        </w:rPr>
        <w:t>of one</w:t>
      </w:r>
      <w:r w:rsidRPr="00727DB4">
        <w:rPr>
          <w:u w:color="000000" w:themeColor="text1"/>
        </w:rPr>
        <w:t xml:space="preserve">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w:t>
      </w:r>
      <w:r w:rsidRPr="00727DB4">
        <w:rPr>
          <w:u w:color="000000" w:themeColor="text1"/>
        </w:rPr>
        <w:lastRenderedPageBreak/>
        <w:t xml:space="preserve">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strike/>
          <w:u w:color="000000" w:themeColor="text1"/>
        </w:rPr>
        <w:t>Any decrease in contribution rates must maintain the 2.9 percent differential between employer and employee contribution rates provided pursuant to subsection (B) of this section.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Pr="00727DB4">
        <w:rPr>
          <w:u w:val="single" w:color="000000" w:themeColor="text1"/>
        </w:rPr>
        <w:noBreakHyphen/>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u w:val="single" w:color="000000" w:themeColor="text1"/>
        </w:rPr>
        <w:t>However, the employee contribution rate may not exceed nine percent and any contribution increase required by this item after the employee contribution rate equals nine percent must be an employer contribution rate.</w:t>
      </w:r>
    </w:p>
    <w:p w:rsidR="005921B9" w:rsidRPr="0075613B"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2.</w:t>
      </w:r>
      <w:r w:rsidRPr="00727DB4">
        <w:rPr>
          <w:u w:color="000000" w:themeColor="text1"/>
        </w:rPr>
        <w:tab/>
        <w:t>Section 9</w:t>
      </w:r>
      <w:r w:rsidRPr="00727DB4">
        <w:rPr>
          <w:u w:color="000000" w:themeColor="text1"/>
        </w:rPr>
        <w:noBreakHyphen/>
        <w:t>11</w:t>
      </w:r>
      <w:r w:rsidRPr="00727DB4">
        <w:rPr>
          <w:u w:color="000000" w:themeColor="text1"/>
        </w:rPr>
        <w:noBreakHyphen/>
        <w:t xml:space="preserve">225 of the 1976 Code, as added by Act 278 of 2012, is amended to read: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“Section 9</w:t>
      </w:r>
      <w:r w:rsidRPr="00727DB4">
        <w:rPr>
          <w:u w:color="000000" w:themeColor="text1"/>
        </w:rPr>
        <w:noBreakHyphen/>
        <w:t>11</w:t>
      </w:r>
      <w:r w:rsidRPr="00727DB4">
        <w:rPr>
          <w:u w:color="000000" w:themeColor="text1"/>
        </w:rPr>
        <w:noBreakHyphen/>
        <w:t>225.</w:t>
      </w:r>
      <w:r w:rsidRPr="00727DB4">
        <w:rPr>
          <w:u w:color="000000" w:themeColor="text1"/>
        </w:rPr>
        <w:tab/>
        <w:t>(A)</w:t>
      </w:r>
      <w:r w:rsidRPr="00727DB4">
        <w:rPr>
          <w:u w:color="000000" w:themeColor="text1"/>
        </w:rPr>
        <w:tab/>
        <w:t>As provided in Sections 9</w:t>
      </w:r>
      <w:r w:rsidRPr="00727DB4">
        <w:rPr>
          <w:u w:color="000000" w:themeColor="text1"/>
        </w:rPr>
        <w:noBreakHyphen/>
        <w:t>11</w:t>
      </w:r>
      <w:r w:rsidRPr="00727DB4">
        <w:rPr>
          <w:u w:color="000000" w:themeColor="text1"/>
        </w:rPr>
        <w:noBreakHyphen/>
        <w:t>210 and 9</w:t>
      </w:r>
      <w:r w:rsidRPr="00727DB4">
        <w:rPr>
          <w:u w:color="000000" w:themeColor="text1"/>
        </w:rPr>
        <w:noBreakHyphen/>
        <w:t>11</w:t>
      </w:r>
      <w:r w:rsidRPr="00727DB4">
        <w:rPr>
          <w:u w:color="000000" w:themeColor="text1"/>
        </w:rPr>
        <w:noBreakHyphen/>
        <w:t xml:space="preserve">220, the employer and employee contribution rates for the system beginning in Fiscal Year </w:t>
      </w:r>
      <w:r w:rsidRPr="00727DB4">
        <w:rPr>
          <w:strike/>
          <w:u w:color="000000" w:themeColor="text1"/>
        </w:rPr>
        <w:t>2012</w:t>
      </w:r>
      <w:r w:rsidRPr="00727DB4">
        <w:rPr>
          <w:strike/>
          <w:u w:color="000000" w:themeColor="text1"/>
        </w:rPr>
        <w:noBreakHyphen/>
        <w:t>2013</w:t>
      </w:r>
      <w:r w:rsidRPr="00727DB4">
        <w:rPr>
          <w:u w:color="000000" w:themeColor="text1"/>
        </w:rPr>
        <w:t xml:space="preserve"> </w:t>
      </w:r>
      <w:r w:rsidRPr="00727DB4">
        <w:rPr>
          <w:u w:val="single" w:color="000000" w:themeColor="text1"/>
        </w:rPr>
        <w:t>2017</w:t>
      </w:r>
      <w:r w:rsidRPr="00727DB4">
        <w:rPr>
          <w:u w:val="single" w:color="000000" w:themeColor="text1"/>
        </w:rPr>
        <w:noBreakHyphen/>
        <w:t>2018</w:t>
      </w:r>
      <w:r w:rsidRPr="00727DB4">
        <w:rPr>
          <w:u w:color="000000" w:themeColor="text1"/>
        </w:rPr>
        <w:t>, expressed as a percentage of earnable compensation, are as follows: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t>Employee Contribution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12.30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12.50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13.00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19.24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11</w:t>
      </w:r>
      <w:r w:rsidRPr="00727DB4">
        <w:rPr>
          <w:u w:color="000000" w:themeColor="text1"/>
        </w:rPr>
        <w:noBreakHyphen/>
        <w:t>120 and 9</w:t>
      </w:r>
      <w:r w:rsidRPr="00727DB4">
        <w:rPr>
          <w:u w:color="000000" w:themeColor="text1"/>
        </w:rPr>
        <w:noBreakHyphen/>
        <w:t>11</w:t>
      </w:r>
      <w:r w:rsidRPr="00727DB4">
        <w:rPr>
          <w:u w:color="000000" w:themeColor="text1"/>
        </w:rPr>
        <w:noBreakHyphen/>
        <w:t>125 and for participation in the accidental death benefit program provided in Section 9</w:t>
      </w:r>
      <w:r w:rsidRPr="00727DB4">
        <w:rPr>
          <w:u w:color="000000" w:themeColor="text1"/>
        </w:rPr>
        <w:noBreakHyphen/>
        <w:t>11</w:t>
      </w:r>
      <w:r w:rsidRPr="00727DB4">
        <w:rPr>
          <w:u w:color="000000" w:themeColor="text1"/>
        </w:rPr>
        <w:noBreakHyphen/>
        <w:t>140. The employer contribution rate for employers that do not participate in these programs must be adjusted accordingly.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but any such increase may not result in a differential between the employee and employer contribution rate for that system that exceeds 5.00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Pr="00727DB4">
        <w:rPr>
          <w:u w:color="000000" w:themeColor="text1"/>
        </w:rPr>
        <w:noBreakHyphen/>
        <w:t>half of one percent of earnable compensation in any one year.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Pr="00727DB4">
        <w:rPr>
          <w:u w:val="single" w:color="000000" w:themeColor="text1"/>
        </w:rPr>
        <w:noBreakHyphen/>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2027</w:t>
      </w:r>
      <w:r w:rsidRPr="00727DB4">
        <w:rPr>
          <w:u w:val="single" w:color="000000" w:themeColor="text1"/>
        </w:rPr>
        <w:noBreakHyphen/>
        <w:t>2028 and after</w:t>
      </w:r>
      <w:r w:rsidRPr="00727DB4">
        <w:rPr>
          <w:u w:color="000000" w:themeColor="text1"/>
        </w:rPr>
        <w:tab/>
      </w:r>
      <w:r w:rsidRPr="00727DB4">
        <w:rPr>
          <w:u w:color="000000" w:themeColor="text1"/>
        </w:rPr>
        <w:tab/>
      </w:r>
      <w:r w:rsidRPr="00727DB4">
        <w:rPr>
          <w:u w:val="single" w:color="000000" w:themeColor="text1"/>
        </w:rPr>
        <w:t>20 years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 xml:space="preserve">in equal percentage </w:t>
      </w:r>
      <w:r w:rsidRPr="00727DB4">
        <w:rPr>
          <w:strike/>
          <w:u w:color="000000" w:themeColor="text1"/>
        </w:rPr>
        <w:lastRenderedPageBreak/>
        <w:t>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Pr="00727DB4">
        <w:rPr>
          <w:u w:color="000000" w:themeColor="text1"/>
        </w:rPr>
        <w:noBreakHyphen/>
        <w:t xml:space="preserve">half </w:t>
      </w:r>
      <w:r>
        <w:rPr>
          <w:u w:val="single"/>
        </w:rPr>
        <w:t xml:space="preserve">of one </w:t>
      </w:r>
      <w:r w:rsidRPr="00727DB4">
        <w:rPr>
          <w:u w:color="000000" w:themeColor="text1"/>
        </w:rPr>
        <w:t>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strike/>
          <w:u w:color="000000" w:themeColor="text1"/>
        </w:rPr>
        <w:t>Any decrease in contribution rates must maintain the 5.0 percent differential between employer and employee contribution rates provided pursuant to subsection (B) of this section.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Pr="00727DB4">
        <w:rPr>
          <w:u w:val="single" w:color="000000" w:themeColor="text1"/>
        </w:rPr>
        <w:noBreakHyphen/>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Pr="00727DB4">
        <w:rPr>
          <w:u w:val="single" w:color="000000" w:themeColor="text1"/>
        </w:rPr>
        <w:noBreakHyphen/>
        <w:t>five</w:t>
      </w:r>
      <w:r w:rsidRPr="00727DB4">
        <w:rPr>
          <w:u w:color="000000" w:themeColor="text1"/>
        </w:rPr>
        <w:t xml:space="preserve"> percent.  </w:t>
      </w:r>
      <w:r w:rsidRPr="00727DB4">
        <w:rPr>
          <w:u w:val="single" w:color="000000" w:themeColor="text1"/>
        </w:rPr>
        <w:t>However the employee contribution rate may not exceed nine and three quarters of one percent and any contribution increase required by this item after the employee contribution rate equals nine and three quarters of one percent must be an increase in the employer contribution rate.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r w:rsidRPr="0075613B">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SECTION</w:t>
      </w:r>
      <w:r w:rsidRPr="00727DB4">
        <w:rPr>
          <w:u w:color="000000" w:themeColor="text1"/>
        </w:rPr>
        <w:tab/>
        <w:t>3.</w:t>
      </w:r>
      <w:r w:rsidRPr="00727DB4">
        <w:rPr>
          <w:u w:color="000000" w:themeColor="text1"/>
        </w:rPr>
        <w:tab/>
        <w:t>Section 9</w:t>
      </w:r>
      <w:r w:rsidRPr="00727DB4">
        <w:rPr>
          <w:u w:color="000000" w:themeColor="text1"/>
        </w:rPr>
        <w:noBreakHyphen/>
        <w:t>16</w:t>
      </w:r>
      <w:r w:rsidRPr="00727DB4">
        <w:rPr>
          <w:u w:color="000000" w:themeColor="text1"/>
        </w:rPr>
        <w:noBreakHyphen/>
        <w:t xml:space="preserve">335 of the 1976 Code, as added by Act 278 of 2012, is amended to read: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Pr="00727DB4">
        <w:rPr>
          <w:u w:color="000000" w:themeColor="text1"/>
        </w:rPr>
        <w:noBreakHyphen/>
        <w:t>16</w:t>
      </w:r>
      <w:r w:rsidRPr="00727DB4">
        <w:rPr>
          <w:u w:color="000000" w:themeColor="text1"/>
        </w:rPr>
        <w:noBreakHyphen/>
        <w:t>335.</w:t>
      </w:r>
      <w:r w:rsidRPr="00727DB4">
        <w:rPr>
          <w:u w:color="000000" w:themeColor="text1"/>
        </w:rPr>
        <w:tab/>
      </w:r>
      <w:r w:rsidRPr="00727DB4">
        <w:rPr>
          <w:u w:val="single" w:color="000000" w:themeColor="text1"/>
        </w:rPr>
        <w:t>(A)</w:t>
      </w:r>
      <w:r w:rsidRPr="00727DB4">
        <w:rPr>
          <w:u w:color="000000" w:themeColor="text1"/>
        </w:rPr>
        <w:tab/>
        <w:t xml:space="preserve">For all purposes of this title, the assumed annual rate of return on the investments of the Retirement System must be established by the General Assembly pursuant to this section. Effective July 1, </w:t>
      </w:r>
      <w:r w:rsidRPr="00727DB4">
        <w:rPr>
          <w:strike/>
          <w:u w:color="000000" w:themeColor="text1"/>
        </w:rPr>
        <w:t>2012</w:t>
      </w:r>
      <w:r w:rsidRPr="00727DB4">
        <w:rPr>
          <w:u w:color="000000" w:themeColor="text1"/>
        </w:rPr>
        <w:t xml:space="preserve"> </w:t>
      </w:r>
      <w:r w:rsidRPr="00727DB4">
        <w:rPr>
          <w:u w:val="single" w:color="000000" w:themeColor="text1"/>
        </w:rPr>
        <w:t>2017</w:t>
      </w:r>
      <w:r w:rsidRPr="00727DB4">
        <w:rPr>
          <w:u w:color="000000" w:themeColor="text1"/>
        </w:rPr>
        <w:t xml:space="preserve">, the assumed annual rate of return on retirement system investments is seven </w:t>
      </w:r>
      <w:r w:rsidRPr="00727DB4">
        <w:rPr>
          <w:strike/>
          <w:u w:color="000000" w:themeColor="text1"/>
        </w:rPr>
        <w:t>and one</w:t>
      </w:r>
      <w:r w:rsidRPr="00727DB4">
        <w:rPr>
          <w:u w:color="000000" w:themeColor="text1"/>
        </w:rPr>
        <w:noBreakHyphen/>
      </w:r>
      <w:r w:rsidRPr="00727DB4">
        <w:rPr>
          <w:strike/>
          <w:u w:color="000000" w:themeColor="text1"/>
        </w:rPr>
        <w:t>half</w:t>
      </w:r>
      <w:r w:rsidRPr="00727DB4">
        <w:rPr>
          <w:u w:color="000000" w:themeColor="text1"/>
        </w:rPr>
        <w:t xml:space="preserve"> </w:t>
      </w:r>
      <w:r w:rsidRPr="00727DB4">
        <w:rPr>
          <w:u w:val="single" w:color="000000" w:themeColor="text1"/>
        </w:rPr>
        <w:t>and one quarter</w:t>
      </w:r>
      <w:r w:rsidRPr="00727DB4">
        <w:rPr>
          <w:u w:color="000000" w:themeColor="text1"/>
        </w:rPr>
        <w:t xml:space="preserve"> percent.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The assumed rate of return set in subsection (A)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Pr="00727DB4">
        <w:rPr>
          <w:u w:val="single" w:color="000000" w:themeColor="text1"/>
        </w:rPr>
        <w:noBreakHyphen/>
        <w:t>year period. The proposed assumed annual rate of return must be developed based on the recommendations of the board’s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Pr="00727DB4">
        <w:rPr>
          <w:u w:val="single" w:color="000000" w:themeColor="text1"/>
        </w:rPr>
        <w:noBreakHyphen/>
        <w:t>year period until subsequent action of the General Assembly.</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Public Employee Benefit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4.</w:t>
      </w:r>
      <w:r w:rsidRPr="00727DB4">
        <w:rPr>
          <w:u w:color="000000" w:themeColor="text1"/>
        </w:rPr>
        <w:tab/>
        <w:t>Section 9</w:t>
      </w:r>
      <w:r w:rsidRPr="00727DB4">
        <w:rPr>
          <w:u w:color="000000" w:themeColor="text1"/>
        </w:rPr>
        <w:noBreakHyphen/>
        <w:t>4</w:t>
      </w:r>
      <w:r w:rsidRPr="00727DB4">
        <w:rPr>
          <w:u w:color="000000" w:themeColor="text1"/>
        </w:rPr>
        <w:noBreakHyphen/>
        <w:t>10 of the 1976 Code, as added by Act 278 of 2012, is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Pr="00727DB4">
        <w:rPr>
          <w:u w:color="000000" w:themeColor="text1"/>
        </w:rPr>
        <w:noBreakHyphen/>
        <w:t>4</w:t>
      </w:r>
      <w:r w:rsidRPr="00727DB4">
        <w:rPr>
          <w:u w:color="000000" w:themeColor="text1"/>
        </w:rPr>
        <w:noBreakHyphen/>
        <w:t>10.</w:t>
      </w:r>
      <w:r w:rsidRPr="00727DB4">
        <w:rPr>
          <w:u w:color="000000" w:themeColor="text1"/>
        </w:rPr>
        <w:tab/>
        <w:t>(A)</w:t>
      </w:r>
      <w:r w:rsidRPr="00727DB4">
        <w:rPr>
          <w:u w:color="000000" w:themeColor="text1"/>
        </w:rPr>
        <w:tab/>
        <w:t xml:space="preserve">Effective July 1, 2012, there is created the South Carolina Public Employee Benefit Authority. The </w:t>
      </w:r>
      <w:r w:rsidRPr="00727DB4">
        <w:rPr>
          <w:u w:val="single" w:color="000000" w:themeColor="text1"/>
        </w:rPr>
        <w:t>sole</w:t>
      </w:r>
      <w:r w:rsidRPr="00727DB4">
        <w:rPr>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(B)(1)</w:t>
      </w:r>
      <w:r w:rsidRPr="00727DB4">
        <w:rPr>
          <w:u w:color="000000" w:themeColor="text1"/>
        </w:rPr>
        <w:tab/>
        <w:t>The board is composed of:</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three nonrepresentative members appointed by the Governor;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r>
      <w:r w:rsidRPr="00727DB4">
        <w:rPr>
          <w:u w:color="000000" w:themeColor="text1"/>
        </w:rPr>
        <w:tab/>
        <w:t>(b)</w:t>
      </w:r>
      <w:r w:rsidRPr="00727DB4">
        <w:rPr>
          <w:u w:color="000000" w:themeColor="text1"/>
        </w:rPr>
        <w:tab/>
        <w:t>two members appointed by the President Pro Tempore of the Senate, one a nonrepresentative member and one a representative member who is either an active or retired member of SCPORS;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two members appointed by the Chairman of the Senate Finance Committee, one a nonrepresentative member and one a representative member who is a retired member of SCRS;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 xml:space="preserve">two members appointed by the Speaker of the House of Representatives, one a nonrepresentative member and one a representative member who must be a state employee who is an active contributing member of SCRS; </w:t>
      </w:r>
      <w:r w:rsidRPr="00727DB4">
        <w:rPr>
          <w:u w:val="single" w:color="000000" w:themeColor="text1"/>
        </w:rPr>
        <w:t>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two members appointed by the Chairman of the House Ways and Means Committee, one a nonrepresentative member and one a representative member who is an active contributing member of SCRS employed by a public school district.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For purposes of the appointments provided by this section, a nonrepresentative member may not belong to those classes of employees and retirees from whom representative members must be appointed.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(C)(1)</w:t>
      </w:r>
      <w:r w:rsidRPr="00727DB4">
        <w:rPr>
          <w:u w:color="000000" w:themeColor="text1"/>
        </w:rPr>
        <w:tab/>
        <w:t>A nonrepresentative member may not be appointed to the board unless the person possesses at least one of the following qualifications: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at least twelve years of professional experience in the financial management of pensions or insurance plans;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at least twelve years academic experience and holds a bachelor’s or higher degree from a college or university as classified by the Carnegie Foundation;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at least twelve years of professional experience as a certified public accountant with financial management, pension, or insurance audit expertise;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at least twelve years as a Certified Financial Planner credentialed by the Certified Financial Planner Board of Standards;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at least twelve years membership in the South Carolina Bar and extensive experience in one or more of the following areas of law:</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 xml:space="preserve">(i) </w:t>
      </w:r>
      <w:r w:rsidRPr="00727DB4">
        <w:rPr>
          <w:u w:color="000000" w:themeColor="text1"/>
        </w:rPr>
        <w:tab/>
        <w:t>taxation;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w:t>
      </w:r>
      <w:r w:rsidRPr="00727DB4">
        <w:rPr>
          <w:u w:color="000000" w:themeColor="text1"/>
        </w:rPr>
        <w:tab/>
        <w:t>insurance;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(iii)</w:t>
      </w:r>
      <w:r w:rsidRPr="00727DB4">
        <w:rPr>
          <w:u w:color="000000" w:themeColor="text1"/>
        </w:rPr>
        <w:tab/>
        <w:t>health care;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(iv)</w:t>
      </w:r>
      <w:r w:rsidRPr="00727DB4">
        <w:rPr>
          <w:u w:color="000000" w:themeColor="text1"/>
        </w:rPr>
        <w:tab/>
        <w:t>securities;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w:t>
      </w:r>
      <w:r w:rsidRPr="00727DB4">
        <w:rPr>
          <w:u w:color="000000" w:themeColor="text1"/>
        </w:rPr>
        <w:tab/>
        <w:t>corporate;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w:t>
      </w:r>
      <w:r w:rsidRPr="00727DB4">
        <w:rPr>
          <w:u w:color="000000" w:themeColor="text1"/>
        </w:rPr>
        <w:tab/>
        <w:t>finance;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r>
      <w:r w:rsidRPr="00727DB4">
        <w:rPr>
          <w:u w:color="000000" w:themeColor="text1"/>
        </w:rPr>
        <w:tab/>
      </w:r>
      <w:r w:rsidRPr="00727DB4">
        <w:rPr>
          <w:u w:color="000000" w:themeColor="text1"/>
        </w:rPr>
        <w:tab/>
        <w:t>(vii)</w:t>
      </w:r>
      <w:r w:rsidRPr="00727DB4">
        <w:rPr>
          <w:u w:color="000000" w:themeColor="text1"/>
        </w:rPr>
        <w:tab/>
        <w:t>the Employment Retirement Income Security Act (ERISA).</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A representative member may not be appointed to the board unless the person: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possesses one of the qualifications set forth in item (1);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has at least twelve years of public employment experience and holds a bachelor’s degree from a college or university as classified by the Carnegie Foundation.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727DB4">
        <w:rPr>
          <w:u w:color="000000" w:themeColor="text1"/>
        </w:rPr>
        <w:tab/>
        <w:t>(D)</w:t>
      </w:r>
      <w:r w:rsidRPr="00727DB4">
        <w:rPr>
          <w:u w:color="000000" w:themeColor="text1"/>
        </w:rPr>
        <w:tab/>
      </w:r>
      <w:r w:rsidRPr="00727DB4">
        <w:rPr>
          <w:u w:val="single" w:color="000000" w:themeColor="text1"/>
        </w:rPr>
        <w:t>In making appointments, the appointing authorities shall select members who are representative of the racial, gender, and geographical diversity of the State.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val="single" w:color="000000" w:themeColor="text1"/>
        </w:rPr>
        <w:t>(E)</w:t>
      </w:r>
      <w:r w:rsidRPr="00727DB4">
        <w:rPr>
          <w:u w:color="000000" w:themeColor="text1"/>
        </w:rPr>
        <w:tab/>
        <w:t xml:space="preserve">Members of the board shall serve for terms of </w:t>
      </w:r>
      <w:r w:rsidRPr="00727DB4">
        <w:rPr>
          <w:strike/>
          <w:u w:color="000000" w:themeColor="text1"/>
        </w:rPr>
        <w:t>two</w:t>
      </w:r>
      <w:r w:rsidRPr="00727DB4">
        <w:rPr>
          <w:u w:color="000000" w:themeColor="text1"/>
        </w:rPr>
        <w:t xml:space="preserve"> </w:t>
      </w:r>
      <w:r w:rsidRPr="00727DB4">
        <w:rPr>
          <w:u w:val="single" w:color="000000" w:themeColor="text1"/>
        </w:rPr>
        <w:t>four</w:t>
      </w:r>
      <w:r w:rsidRPr="00727DB4">
        <w:rPr>
          <w:u w:color="000000" w:themeColor="text1"/>
        </w:rPr>
        <w:t xml:space="preserve"> years and until their successors are appointed and qualify</w:t>
      </w:r>
      <w:r w:rsidRPr="00727DB4">
        <w:rPr>
          <w:u w:val="single" w:color="000000" w:themeColor="text1"/>
        </w:rPr>
        <w:t>, except that the terms of the board members appointed by the Governor on July 1, 2016</w:t>
      </w:r>
      <w:r>
        <w:rPr>
          <w:u w:val="single" w:color="000000" w:themeColor="text1"/>
        </w:rPr>
        <w:t>,</w:t>
      </w:r>
      <w:r w:rsidRPr="00727DB4">
        <w:rPr>
          <w:u w:val="single" w:color="000000" w:themeColor="text1"/>
        </w:rPr>
        <w:t xml:space="preserve"> expire on June 30, 2018, the terms of the nonrepresentative board members appointed by members of the General Assembly on July 1, 2016</w:t>
      </w:r>
      <w:r>
        <w:rPr>
          <w:u w:val="single" w:color="000000" w:themeColor="text1"/>
        </w:rPr>
        <w:t>,</w:t>
      </w:r>
      <w:r w:rsidRPr="00727DB4">
        <w:rPr>
          <w:u w:val="single" w:color="000000" w:themeColor="text1"/>
        </w:rPr>
        <w:t xml:space="preserve"> expire on June 30, 2019, and the terms of the representative board members appointed by members of the General Assembly on July 1, 2016</w:t>
      </w:r>
      <w:r>
        <w:rPr>
          <w:u w:val="single" w:color="000000" w:themeColor="text1"/>
        </w:rPr>
        <w:t>,</w:t>
      </w:r>
      <w:r w:rsidRPr="00727DB4">
        <w:rPr>
          <w:u w:val="single" w:color="000000" w:themeColor="text1"/>
        </w:rPr>
        <w:t xml:space="preserve"> expire on June 30, 2020</w:t>
      </w:r>
      <w:r w:rsidRPr="00727DB4">
        <w:rPr>
          <w:u w:color="000000" w:themeColor="text1"/>
        </w:rPr>
        <w:t xml:space="preserve">. Vacancies must be filled within sixty days in the manner of original appointment for the unexpired portion of the term. Terms </w:t>
      </w:r>
      <w:r w:rsidRPr="00727DB4">
        <w:rPr>
          <w:strike/>
          <w:u w:color="000000" w:themeColor="text1"/>
        </w:rPr>
        <w:t>commence on July first of even numbered years</w:t>
      </w:r>
      <w:r w:rsidRPr="00727DB4">
        <w:rPr>
          <w:u w:color="000000" w:themeColor="text1"/>
        </w:rPr>
        <w:t xml:space="preserve"> </w:t>
      </w:r>
      <w:r w:rsidRPr="00727DB4">
        <w:rPr>
          <w:u w:val="single" w:color="000000" w:themeColor="text1"/>
        </w:rPr>
        <w:t>expire after June thirtieth of the year in which the term is due to expire</w:t>
      </w:r>
      <w:r w:rsidRPr="00727DB4">
        <w:rPr>
          <w:u w:color="000000" w:themeColor="text1"/>
        </w:rPr>
        <w:t xml:space="preserve">. Upon a </w:t>
      </w:r>
      <w:r w:rsidRPr="00727DB4">
        <w:rPr>
          <w:strike/>
          <w:u w:color="000000" w:themeColor="text1"/>
        </w:rPr>
        <w:t>member’s</w:t>
      </w:r>
      <w:r w:rsidRPr="00727DB4">
        <w:rPr>
          <w:u w:color="000000" w:themeColor="text1"/>
        </w:rPr>
        <w:t xml:space="preserve"> </w:t>
      </w:r>
      <w:r w:rsidRPr="00727DB4">
        <w:rPr>
          <w:u w:val="single" w:color="000000" w:themeColor="text1"/>
        </w:rPr>
        <w:t>person’s</w:t>
      </w:r>
      <w:r w:rsidRPr="00727DB4">
        <w:rPr>
          <w:u w:color="000000" w:themeColor="text1"/>
        </w:rPr>
        <w:t xml:space="preserve"> appointment, the appointing official shall certify to the Secretary of State that the appointee meets or exceeds the qualifications set forth in subsections (B) and (C).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appointed may </w:t>
      </w:r>
      <w:r w:rsidRPr="00727DB4">
        <w:rPr>
          <w:u w:val="single" w:color="000000" w:themeColor="text1"/>
        </w:rPr>
        <w:t>not</w:t>
      </w:r>
      <w:r w:rsidRPr="00727DB4">
        <w:rPr>
          <w:u w:color="000000" w:themeColor="text1"/>
        </w:rPr>
        <w:t xml:space="preserve"> qualify unless he first certifies that he meets or exceeds the qualifications applicable for their appointment. A member </w:t>
      </w:r>
      <w:r w:rsidRPr="00727DB4">
        <w:rPr>
          <w:strike/>
          <w:u w:color="000000" w:themeColor="text1"/>
        </w:rPr>
        <w:t>serves at the pleasure of the member’s appointing authority</w:t>
      </w:r>
      <w:r w:rsidRPr="00727DB4">
        <w:rPr>
          <w:u w:color="000000" w:themeColor="text1"/>
        </w:rPr>
        <w:t xml:space="preserve"> </w:t>
      </w:r>
      <w:r w:rsidRPr="00727DB4">
        <w:rPr>
          <w:u w:val="single" w:color="000000" w:themeColor="text1"/>
        </w:rPr>
        <w:t>may be removed before the term expires only by the Governor for the reasons provided in Section 1</w:t>
      </w:r>
      <w:r w:rsidRPr="00727DB4">
        <w:rPr>
          <w:u w:val="single" w:color="000000" w:themeColor="text1"/>
        </w:rPr>
        <w:noBreakHyphen/>
        <w:t>3</w:t>
      </w:r>
      <w:r w:rsidRPr="00727DB4">
        <w:rPr>
          <w:u w:val="single" w:color="000000" w:themeColor="text1"/>
        </w:rPr>
        <w:noBreakHyphen/>
        <w:t>240(C)</w:t>
      </w:r>
      <w:r w:rsidRPr="00727DB4">
        <w:rPr>
          <w:u w:color="000000" w:themeColor="text1"/>
        </w:rPr>
        <w:t xml:space="preserve">. </w:t>
      </w:r>
      <w:r w:rsidRPr="00727DB4">
        <w:rPr>
          <w:u w:val="single" w:color="000000" w:themeColor="text1"/>
        </w:rPr>
        <w:t>A member may not be appointed to serve more than two consecutive four</w:t>
      </w:r>
      <w:r w:rsidRPr="00727DB4">
        <w:rPr>
          <w:u w:val="single" w:color="000000" w:themeColor="text1"/>
        </w:rPr>
        <w:noBreakHyphen/>
        <w:t>year terms, except that a member of the board who has five or more years of consecutive service on the board at the expiration of his term, beginning July 1, 2016, may not be appointed to serve for more than one additional consecutive four</w:t>
      </w:r>
      <w:r w:rsidRPr="00727DB4">
        <w:rPr>
          <w:u w:val="single" w:color="000000" w:themeColor="text1"/>
        </w:rPr>
        <w:noBreakHyphen/>
        <w:t>year term.</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(F)</w:t>
      </w:r>
      <w:r w:rsidRPr="00727DB4">
        <w:rPr>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strike/>
          <w:u w:color="000000" w:themeColor="text1"/>
        </w:rPr>
        <w:t>(F)</w:t>
      </w:r>
      <w:r w:rsidRPr="00727DB4">
        <w:rPr>
          <w:u w:val="single" w:color="000000" w:themeColor="text1"/>
        </w:rPr>
        <w:t>(G)</w:t>
      </w:r>
      <w:r w:rsidRPr="00727DB4">
        <w:rPr>
          <w:u w:color="000000" w:themeColor="text1"/>
        </w:rPr>
        <w:t>(1)</w:t>
      </w:r>
      <w:r w:rsidRPr="00727DB4">
        <w:rPr>
          <w:u w:color="000000" w:themeColor="text1"/>
        </w:rPr>
        <w:tab/>
        <w:t xml:space="preserve">Each member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member’s service on the board is not considered earnable compensation for purposes of any state retirement system.</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(H)</w:t>
      </w:r>
      <w:r w:rsidRPr="00727DB4">
        <w:rPr>
          <w:u w:color="000000" w:themeColor="text1"/>
        </w:rPr>
        <w:tab/>
        <w:t xml:space="preserve">Minimally, the board shall meet </w:t>
      </w:r>
      <w:r w:rsidRPr="00727DB4">
        <w:rPr>
          <w:strike/>
          <w:u w:color="000000" w:themeColor="text1"/>
        </w:rPr>
        <w:t>monthly</w:t>
      </w:r>
      <w:r w:rsidRPr="00727DB4">
        <w:rPr>
          <w:u w:color="000000" w:themeColor="text1"/>
        </w:rPr>
        <w:t xml:space="preserve"> </w:t>
      </w:r>
      <w:r w:rsidRPr="00727DB4">
        <w:rPr>
          <w:u w:val="single" w:color="000000" w:themeColor="text1"/>
        </w:rPr>
        <w:t>quarterly and at other times set by the board</w:t>
      </w:r>
      <w:r w:rsidRPr="00727DB4">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(I)</w:t>
      </w:r>
      <w:r w:rsidRPr="00727DB4">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Employee Insurance Program;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the Retirement Division.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(J)</w:t>
      </w:r>
      <w:r w:rsidRPr="00727DB4">
        <w:rPr>
          <w:u w:color="000000" w:themeColor="text1"/>
        </w:rPr>
        <w:tab/>
      </w:r>
      <w:r w:rsidRPr="00727DB4">
        <w:rPr>
          <w:u w:val="single" w:color="000000" w:themeColor="text1"/>
        </w:rPr>
        <w:t xml:space="preserve">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board’s decisions and directives. The executive director shall employ the other professional, administrative, and clerical personnel he determines necessary to support the administration and operation of the </w:t>
      </w:r>
      <w:r w:rsidRPr="00727DB4">
        <w:rPr>
          <w:u w:val="single" w:color="000000" w:themeColor="text1"/>
        </w:rPr>
        <w:lastRenderedPageBreak/>
        <w:t>authority and fix their compensation pursuant to an organizational plan approved by the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(K)</w:t>
      </w:r>
      <w:r w:rsidRPr="00727DB4">
        <w:rPr>
          <w:u w:color="000000" w:themeColor="text1"/>
        </w:rPr>
        <w:tab/>
      </w:r>
      <w:r w:rsidRPr="00727DB4">
        <w:rPr>
          <w:u w:val="single" w:color="000000" w:themeColor="text1"/>
        </w:rPr>
        <w:t>Members of the board and the executive director, and other employees or agents designated by the board, are fiduciaries of the authority and in discharging their duties as fiduciaries shall act: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(1)</w:t>
      </w:r>
      <w:r w:rsidRPr="00727DB4">
        <w:rPr>
          <w:u w:color="000000" w:themeColor="text1"/>
        </w:rPr>
        <w:tab/>
      </w:r>
      <w:r w:rsidRPr="00727DB4">
        <w:rPr>
          <w:u w:val="single" w:color="000000" w:themeColor="text1"/>
        </w:rPr>
        <w:t>only in the interest of the participants and beneficiaries of the employee benefit plans administered by the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impartially, taking into account any differing interests of participants and beneficiaries;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incurring only costs that are appropriate and reasonable;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(6)</w:t>
      </w:r>
      <w:r w:rsidRPr="00727DB4">
        <w:rPr>
          <w:u w:color="000000" w:themeColor="text1"/>
        </w:rPr>
        <w:tab/>
      </w:r>
      <w:r w:rsidRPr="00727DB4">
        <w:rPr>
          <w:u w:val="single" w:color="000000" w:themeColor="text1"/>
        </w:rPr>
        <w:t>in accordance with a good faith interpretation of this chapter and other applicable provisions of law.</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(L)(1)</w:t>
      </w:r>
      <w:r w:rsidRPr="00727DB4">
        <w:rPr>
          <w:u w:color="000000" w:themeColor="text1"/>
        </w:rPr>
        <w:tab/>
      </w:r>
      <w:r w:rsidRPr="00727DB4">
        <w:rPr>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An agreement that purports to limit the liability of a fiduciary for a breach of duty under this section is void.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The authority may insure a fiduciary or itself against liability or losses occurring because of a breach of duty under this section.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Nothing in this subsection may be construed to limit the applicability of the provisions of Section 9</w:t>
      </w:r>
      <w:r w:rsidRPr="00727DB4">
        <w:rPr>
          <w:u w:val="single" w:color="000000" w:themeColor="text1"/>
        </w:rPr>
        <w:noBreakHyphen/>
        <w:t>4</w:t>
      </w:r>
      <w:r w:rsidRPr="00727DB4">
        <w:rPr>
          <w:u w:val="single" w:color="000000" w:themeColor="text1"/>
        </w:rPr>
        <w:noBreakHyphen/>
        <w:t>15.</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5.</w:t>
      </w:r>
      <w:r w:rsidRPr="00727DB4">
        <w:rPr>
          <w:u w:color="000000" w:themeColor="text1"/>
        </w:rPr>
        <w:tab/>
        <w:t>Section 9</w:t>
      </w:r>
      <w:r w:rsidRPr="00727DB4">
        <w:rPr>
          <w:u w:color="000000" w:themeColor="text1"/>
        </w:rPr>
        <w:noBreakHyphen/>
        <w:t>4</w:t>
      </w:r>
      <w:r w:rsidRPr="00727DB4">
        <w:rPr>
          <w:u w:color="000000" w:themeColor="text1"/>
        </w:rPr>
        <w:noBreakHyphen/>
        <w:t>40 of the 1976 Code, as last amended by Act 278 of 2012,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Pr="00727DB4">
        <w:rPr>
          <w:u w:color="000000" w:themeColor="text1"/>
        </w:rPr>
        <w:noBreakHyphen/>
        <w:t>4</w:t>
      </w:r>
      <w:r w:rsidRPr="00727DB4">
        <w:rPr>
          <w:u w:color="000000" w:themeColor="text1"/>
        </w:rPr>
        <w:noBreakHyphen/>
        <w:t>40.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South Carolina Public Employee Benefit Authority. The audit firm must be selected by the </w:t>
      </w:r>
      <w:r w:rsidRPr="00727DB4">
        <w:rPr>
          <w:strike/>
          <w:u w:color="000000" w:themeColor="text1"/>
        </w:rPr>
        <w:t>State Inspector General</w:t>
      </w:r>
      <w:r w:rsidRPr="00727DB4">
        <w:rPr>
          <w:u w:color="000000" w:themeColor="text1"/>
        </w:rPr>
        <w:t xml:space="preserve"> </w:t>
      </w:r>
      <w:r w:rsidRPr="00727DB4">
        <w:rPr>
          <w:u w:val="single" w:color="000000" w:themeColor="text1"/>
        </w:rPr>
        <w:t>State 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w:t>
      </w:r>
      <w:r w:rsidRPr="00727DB4">
        <w:rPr>
          <w:strike/>
          <w:u w:color="000000" w:themeColor="text1"/>
        </w:rPr>
        <w:t>the previous fiscal year</w:t>
      </w:r>
      <w:r w:rsidRPr="00727DB4">
        <w:rPr>
          <w:u w:color="000000" w:themeColor="text1"/>
        </w:rPr>
        <w:t xml:space="preserve"> </w:t>
      </w:r>
      <w:r w:rsidRPr="00727DB4">
        <w:rPr>
          <w:u w:val="single" w:color="000000" w:themeColor="text1"/>
        </w:rPr>
        <w:t>the 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t>6.</w:t>
      </w:r>
      <w:r w:rsidRPr="00727DB4">
        <w:rPr>
          <w:snapToGrid w:val="0"/>
        </w:rPr>
        <w:tab/>
        <w:t>Section 9-1-240 of the 1976 Code is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“Section 9-1-240.</w:t>
      </w:r>
      <w:r>
        <w:rPr>
          <w:snapToGrid w:val="0"/>
        </w:rPr>
        <w:tab/>
        <w:t>The b</w:t>
      </w:r>
      <w:r w:rsidRPr="00727DB4">
        <w:rPr>
          <w:snapToGrid w:val="0"/>
        </w:rPr>
        <w:t>oard shall designate an actuary</w:t>
      </w:r>
      <w:r w:rsidRPr="00727DB4">
        <w:rPr>
          <w:snapToGrid w:val="0"/>
          <w:u w:val="single"/>
        </w:rPr>
        <w:t>, subject to the approval of the State Fiscal Accountability Authority or its successor,</w:t>
      </w:r>
      <w:r w:rsidRPr="00727DB4">
        <w:rPr>
          <w:snapToGrid w:val="0"/>
        </w:rPr>
        <w:t xml:space="preserve"> who </w:t>
      </w:r>
      <w:r w:rsidRPr="00727DB4">
        <w:rPr>
          <w:strike/>
          <w:snapToGrid w:val="0"/>
        </w:rPr>
        <w:t>shall be</w:t>
      </w:r>
      <w:r w:rsidRPr="00727DB4">
        <w:rPr>
          <w:snapToGrid w:val="0"/>
        </w:rPr>
        <w:t xml:space="preserve"> </w:t>
      </w:r>
      <w:r w:rsidRPr="00727DB4">
        <w:rPr>
          <w:snapToGrid w:val="0"/>
          <w:u w:val="single"/>
        </w:rPr>
        <w:t>is</w:t>
      </w:r>
      <w:r>
        <w:rPr>
          <w:snapToGrid w:val="0"/>
        </w:rPr>
        <w:t xml:space="preserve"> the technical advisor of the b</w:t>
      </w:r>
      <w:r w:rsidRPr="00727DB4">
        <w:rPr>
          <w:snapToGrid w:val="0"/>
        </w:rPr>
        <w:t xml:space="preserve">oard on matters </w:t>
      </w:r>
      <w:r>
        <w:rPr>
          <w:snapToGrid w:val="0"/>
        </w:rPr>
        <w:t>regarding the operation of the s</w:t>
      </w:r>
      <w:r w:rsidRPr="00727DB4">
        <w:rPr>
          <w:snapToGrid w:val="0"/>
        </w:rPr>
        <w:t>ystem and shall perform such other duties as are required in connection therewith,</w:t>
      </w:r>
      <w:r w:rsidRPr="00727DB4">
        <w:rPr>
          <w:snapToGrid w:val="0"/>
          <w:u w:val="single"/>
        </w:rPr>
        <w:t xml:space="preserve">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Pr="00727DB4">
        <w:rPr>
          <w:snapToGrid w:val="0"/>
        </w:rPr>
        <w:t>.”</w:t>
      </w:r>
      <w:r w:rsidRPr="00727DB4">
        <w:rPr>
          <w:snapToGrid w:val="0"/>
        </w:rPr>
        <w:tab/>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III</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Retirement System Investment Commission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7.</w:t>
      </w:r>
      <w:r w:rsidRPr="00727DB4">
        <w:rPr>
          <w:u w:color="000000" w:themeColor="text1"/>
        </w:rPr>
        <w:tab/>
        <w:t>Section 9</w:t>
      </w:r>
      <w:r w:rsidRPr="00727DB4">
        <w:rPr>
          <w:u w:color="000000" w:themeColor="text1"/>
        </w:rPr>
        <w:noBreakHyphen/>
        <w:t>16</w:t>
      </w:r>
      <w:r w:rsidRPr="00727DB4">
        <w:rPr>
          <w:u w:color="000000" w:themeColor="text1"/>
        </w:rPr>
        <w:noBreakHyphen/>
        <w:t>10(4) of the 1976 Code, as last amended by Act 153 of 2005, is further amended by adding an appropriately lettered subitem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t>is the commission’s chief executive officer.”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lastRenderedPageBreak/>
        <w:t>SECTION</w:t>
      </w:r>
      <w:r w:rsidRPr="00727DB4">
        <w:rPr>
          <w:snapToGrid w:val="0"/>
        </w:rPr>
        <w:tab/>
        <w:t>8.</w:t>
      </w:r>
      <w:r w:rsidRPr="00727DB4">
        <w:rPr>
          <w:snapToGrid w:val="0"/>
        </w:rPr>
        <w:tab/>
        <w:t>Section 9-16-30 of the 1976 Code, as last amended by Act 153 of 2005, is further amended by adding an appropriately lettered subsection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t>“(</w:t>
      </w:r>
      <w:r w:rsidRPr="00727DB4">
        <w:rPr>
          <w:snapToGrid w:val="0"/>
        </w:rPr>
        <w:tab/>
        <w:t>)</w:t>
      </w:r>
      <w:r w:rsidRPr="00727DB4">
        <w:rPr>
          <w:snapToGrid w:val="0"/>
        </w:rPr>
        <w:tab/>
        <w:t>The commission shall cast shareholder proxy votes that are in keeping with its fiduciary duties that are consistent with the best interest of the trust fund and most likely to maximize shareholder value.”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9.</w:t>
      </w:r>
      <w:r w:rsidRPr="00727DB4">
        <w:rPr>
          <w:u w:color="000000" w:themeColor="text1"/>
        </w:rPr>
        <w:tab/>
        <w:t>Section 9</w:t>
      </w:r>
      <w:r w:rsidRPr="00727DB4">
        <w:rPr>
          <w:u w:color="000000" w:themeColor="text1"/>
        </w:rPr>
        <w:noBreakHyphen/>
        <w:t>16</w:t>
      </w:r>
      <w:r w:rsidRPr="00727DB4">
        <w:rPr>
          <w:u w:color="000000" w:themeColor="text1"/>
        </w:rPr>
        <w:noBreakHyphen/>
        <w:t>90(B) of the 1976 Code, as last amended by Act 153 of 2005,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“(B)</w:t>
      </w:r>
      <w:r w:rsidRPr="00727DB4">
        <w:rPr>
          <w:u w:color="000000" w:themeColor="text1"/>
        </w:rPr>
        <w:tab/>
      </w:r>
      <w:r w:rsidRPr="00727DB4">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a schedule of the rates of return, net of total investment expense, on assets of the system overall and on assets aggregated by category over the most recent one</w:t>
      </w:r>
      <w:r w:rsidRPr="00727DB4">
        <w:noBreakHyphen/>
        <w:t>year, three</w:t>
      </w:r>
      <w:r w:rsidRPr="00727DB4">
        <w:noBreakHyphen/>
        <w:t>year, five</w:t>
      </w:r>
      <w:r w:rsidRPr="00727DB4">
        <w:noBreakHyphen/>
        <w:t>year, and ten</w:t>
      </w:r>
      <w:r w:rsidRPr="00727DB4">
        <w:noBreakHyphen/>
        <w:t>year periods, to the extent available, and the rates of return on appropriate benchmarks for assets of the system overall and for each category over each period;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a schedule of the sum of total investment expense</w:t>
      </w:r>
      <w:r w:rsidRPr="00727DB4">
        <w:rPr>
          <w:u w:val="single"/>
        </w:rPr>
        <w:t>, manager fees and expenses,</w:t>
      </w:r>
      <w:r w:rsidRPr="00727DB4">
        <w:t xml:space="preserve"> and </w:t>
      </w:r>
      <w:r w:rsidRPr="00727DB4">
        <w:rPr>
          <w:strike/>
        </w:rPr>
        <w:t>total</w:t>
      </w:r>
      <w:r w:rsidRPr="00727DB4">
        <w:t xml:space="preserve"> general administrative expense for the fiscal year expressed as a percentage of the fair value of assets of the system on the last day of the fiscal year, and an equivalent percentage for the preceding five fiscal years; </w:t>
      </w:r>
      <w:r w:rsidRPr="00727DB4">
        <w:rPr>
          <w:strike/>
        </w:rPr>
        <w:t>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tab/>
      </w:r>
      <w:r w:rsidRPr="00727DB4">
        <w:tab/>
        <w:t>(4)</w:t>
      </w:r>
      <w:r w:rsidRPr="00727DB4">
        <w:tab/>
      </w:r>
      <w:r w:rsidRPr="00727DB4">
        <w:rPr>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w:t>
      </w:r>
      <w:r w:rsidRPr="00727DB4">
        <w:rPr>
          <w:u w:val="single" w:color="000000" w:themeColor="text1"/>
        </w:rPr>
        <w:lastRenderedPageBreak/>
        <w:t xml:space="preserve">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schedule of manager fees and expenses required by this item also must be published in a conspicuous location on the commission’s website; and </w:t>
      </w:r>
    </w:p>
    <w:p w:rsidR="005921B9"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(5)</w:t>
      </w:r>
      <w:r w:rsidRPr="00727DB4">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F5A">
        <w:rPr>
          <w:rFonts w:eastAsia="Calibri"/>
          <w:u w:color="000000"/>
        </w:rPr>
        <w:tab/>
      </w:r>
      <w:r w:rsidRPr="00855F5A">
        <w:rPr>
          <w:rFonts w:eastAsia="Calibri"/>
          <w:u w:color="000000"/>
        </w:rPr>
        <w:tab/>
      </w:r>
      <w:r w:rsidRPr="00727DB4">
        <w:rPr>
          <w:rFonts w:eastAsia="Calibri"/>
          <w:u w:val="single" w:color="000000"/>
        </w:rPr>
        <w:t>(6)</w:t>
      </w:r>
      <w:r w:rsidRPr="00727DB4">
        <w:rPr>
          <w:rFonts w:eastAsia="Calibri"/>
          <w:u w:color="000000"/>
        </w:rPr>
        <w:tab/>
      </w:r>
      <w:r w:rsidRPr="00727DB4">
        <w:rPr>
          <w:rFonts w:eastAsia="Calibri"/>
          <w:u w:val="single" w:color="000000"/>
        </w:rPr>
        <w:t>a schedule of investment decisions that have been delegated from the commission to the chief investment officer to include the name, asset class, asset value, fees paid, and performance since inception by manager.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t>These disclosure requirements are cumulative to and do not replace other reporting requirements provided by law.”</w:t>
      </w:r>
    </w:p>
    <w:p w:rsidR="005921B9" w:rsidRPr="00855F5A"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27DB4">
        <w:rPr>
          <w:rFonts w:eastAsia="Calibri"/>
          <w:u w:color="000000"/>
        </w:rPr>
        <w:tab/>
      </w:r>
      <w:r w:rsidRPr="00727DB4">
        <w:rPr>
          <w:rFonts w:eastAsia="Calibri"/>
          <w:u w:color="000000"/>
        </w:rPr>
        <w:tab/>
        <w:t xml:space="preserve">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10.</w:t>
      </w:r>
      <w:r w:rsidRPr="00727DB4">
        <w:rPr>
          <w:u w:color="000000" w:themeColor="text1"/>
        </w:rPr>
        <w:tab/>
        <w:t>Section 9</w:t>
      </w:r>
      <w:r w:rsidRPr="00727DB4">
        <w:rPr>
          <w:u w:color="000000" w:themeColor="text1"/>
        </w:rPr>
        <w:noBreakHyphen/>
        <w:t>16</w:t>
      </w:r>
      <w:r w:rsidRPr="00727DB4">
        <w:rPr>
          <w:u w:color="000000" w:themeColor="text1"/>
        </w:rPr>
        <w:noBreakHyphen/>
        <w:t>315 of the 1976 Code, as last amended by Act 278 of 2012,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color="000000" w:themeColor="text1"/>
        </w:rPr>
        <w:t>“Section 9</w:t>
      </w:r>
      <w:r w:rsidRPr="00727DB4">
        <w:rPr>
          <w:u w:color="000000" w:themeColor="text1"/>
        </w:rPr>
        <w:noBreakHyphen/>
        <w:t>16</w:t>
      </w:r>
      <w:r w:rsidRPr="00727DB4">
        <w:rPr>
          <w:u w:color="000000" w:themeColor="text1"/>
        </w:rPr>
        <w:noBreakHyphen/>
        <w:t>315.</w:t>
      </w:r>
      <w:r w:rsidRPr="00727DB4">
        <w:rPr>
          <w:u w:color="000000" w:themeColor="text1"/>
        </w:rPr>
        <w:tab/>
        <w:t>(A)</w:t>
      </w:r>
      <w:r w:rsidRPr="00727DB4">
        <w:rPr>
          <w:u w:color="000000" w:themeColor="text1"/>
        </w:rPr>
        <w:tab/>
        <w:t xml:space="preserve">There is established the ‘Retirement System Investment Commission’ (RSIC) consisting of </w:t>
      </w:r>
      <w:r w:rsidRPr="00727DB4">
        <w:rPr>
          <w:strike/>
          <w:u w:color="000000" w:themeColor="text1"/>
        </w:rPr>
        <w:t>seven</w:t>
      </w:r>
      <w:r w:rsidRPr="00727DB4">
        <w:rPr>
          <w:u w:color="000000" w:themeColor="text1"/>
        </w:rPr>
        <w:t xml:space="preserve"> </w:t>
      </w:r>
      <w:r w:rsidRPr="00727DB4">
        <w:rPr>
          <w:u w:val="single"/>
        </w:rPr>
        <w:t>eight</w:t>
      </w:r>
      <w:r w:rsidRPr="00727DB4">
        <w:t xml:space="preserve"> </w:t>
      </w:r>
      <w:r w:rsidRPr="00727DB4">
        <w:rPr>
          <w:u w:color="000000" w:themeColor="text1"/>
        </w:rPr>
        <w:t>members</w:t>
      </w:r>
      <w:r w:rsidRPr="00727DB4">
        <w:rPr>
          <w:u w:val="single"/>
        </w:rPr>
        <w:t>, seven of which have voting privileges,</w:t>
      </w:r>
      <w:r w:rsidRPr="00727DB4">
        <w:rPr>
          <w:u w:color="000000" w:themeColor="text1"/>
        </w:rPr>
        <w:t xml:space="preserve"> as follows: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r>
      <w:r w:rsidRPr="00727DB4">
        <w:rPr>
          <w:strike/>
          <w:u w:color="000000" w:themeColor="text1"/>
        </w:rPr>
        <w:t>one</w:t>
      </w:r>
      <w:r w:rsidRPr="00727DB4">
        <w:rPr>
          <w:u w:color="000000" w:themeColor="text1"/>
        </w:rPr>
        <w:t xml:space="preserve"> </w:t>
      </w:r>
      <w:r w:rsidRPr="00727DB4">
        <w:rPr>
          <w:u w:val="single"/>
        </w:rPr>
        <w:t>two</w:t>
      </w:r>
      <w:r w:rsidRPr="00727DB4">
        <w:t xml:space="preserve"> </w:t>
      </w:r>
      <w:r w:rsidRPr="00727DB4">
        <w:rPr>
          <w:strike/>
          <w:u w:color="000000" w:themeColor="text1"/>
        </w:rPr>
        <w:t>member</w:t>
      </w:r>
      <w:r w:rsidRPr="00727DB4">
        <w:rPr>
          <w:u w:color="000000" w:themeColor="text1"/>
        </w:rPr>
        <w:t xml:space="preserve"> </w:t>
      </w:r>
      <w:r w:rsidRPr="00727DB4">
        <w:rPr>
          <w:u w:val="single"/>
        </w:rPr>
        <w:t>members</w:t>
      </w:r>
      <w:r w:rsidRPr="00727DB4">
        <w:rPr>
          <w:u w:color="000000" w:themeColor="text1"/>
        </w:rPr>
        <w:t xml:space="preserve"> appointed by the Governor</w:t>
      </w:r>
      <w:r w:rsidRPr="00727DB4">
        <w:rPr>
          <w:u w:val="single"/>
        </w:rPr>
        <w:t xml:space="preserve">, one of which </w:t>
      </w:r>
      <w:r w:rsidRPr="00727DB4">
        <w:rPr>
          <w:u w:val="single" w:color="000000" w:themeColor="text1"/>
        </w:rPr>
        <w:t>is an active member of the South Carolina Retirement System, Police Officers Retirement System, the Judges and Solicitors Retirement System, or the National Guard Retirement System</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u w:val="single" w:color="000000" w:themeColor="text1"/>
        </w:rPr>
        <w:t>one member appointed by</w:t>
      </w:r>
      <w:r w:rsidRPr="00727DB4">
        <w:rPr>
          <w:u w:color="000000" w:themeColor="text1"/>
        </w:rPr>
        <w:t xml:space="preserve"> the State Treasurer</w:t>
      </w:r>
      <w:r w:rsidRPr="00727DB4">
        <w:rPr>
          <w:strike/>
          <w:u w:color="000000" w:themeColor="text1"/>
        </w:rPr>
        <w:t>, ex officio</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t>one member appointed by the Comptroller General;</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one member appointed by the Chairman of the Senate Finance Committee;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 xml:space="preserve">one member appointed by the Chairman of the </w:t>
      </w:r>
      <w:r w:rsidRPr="00727DB4">
        <w:rPr>
          <w:u w:val="single" w:color="000000" w:themeColor="text1"/>
        </w:rPr>
        <w:t>House</w:t>
      </w:r>
      <w:r w:rsidRPr="00727DB4">
        <w:rPr>
          <w:u w:color="000000" w:themeColor="text1"/>
        </w:rPr>
        <w:t xml:space="preserve"> Ways and Means Committee </w:t>
      </w:r>
      <w:r w:rsidRPr="00727DB4">
        <w:rPr>
          <w:strike/>
          <w:u w:color="000000" w:themeColor="text1"/>
        </w:rPr>
        <w:t>of the House of Representatives</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 xml:space="preserve">one member who is a retired member of the </w:t>
      </w:r>
      <w:r w:rsidRPr="00727DB4">
        <w:rPr>
          <w:strike/>
          <w:u w:color="000000" w:themeColor="text1"/>
        </w:rPr>
        <w:t>retirement system</w:t>
      </w:r>
      <w:r w:rsidRPr="00727DB4">
        <w:rPr>
          <w:u w:color="000000" w:themeColor="text1"/>
        </w:rPr>
        <w:t xml:space="preserve"> </w:t>
      </w:r>
      <w:r w:rsidRPr="00727DB4">
        <w:rPr>
          <w:u w:val="single" w:color="000000" w:themeColor="text1"/>
        </w:rPr>
        <w:t>South Carolina Retirement System, Police Officers Retirement System, Judges and Solicitors Retirement System, or National Guard Retirement System</w:t>
      </w:r>
      <w:r w:rsidRPr="00727DB4">
        <w:rPr>
          <w:u w:color="000000" w:themeColor="text1"/>
        </w:rPr>
        <w:t xml:space="preserve">. This representative member </w:t>
      </w:r>
      <w:r w:rsidRPr="00727DB4">
        <w:rPr>
          <w:u w:color="000000" w:themeColor="text1"/>
        </w:rPr>
        <w:lastRenderedPageBreak/>
        <w:t>must be appointed by unanimous vote of the voting members of the commission;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Pr="00727DB4">
        <w:rPr>
          <w:u w:color="000000" w:themeColor="text1"/>
        </w:rPr>
        <w:tab/>
      </w:r>
      <w:r w:rsidRPr="00727DB4">
        <w:t>(7)</w:t>
      </w:r>
      <w:r w:rsidRPr="00727DB4">
        <w:rPr>
          <w:u w:color="000000" w:themeColor="text1"/>
        </w:rPr>
        <w:tab/>
        <w:t>the Executive Director of South Carolina Public Employee Benefit Authority, ex officio, without voting privileges.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27DB4">
        <w:tab/>
      </w:r>
      <w:r w:rsidRPr="00727DB4">
        <w:rPr>
          <w:u w:color="000000"/>
        </w:rPr>
        <w:t>(B)</w:t>
      </w:r>
      <w:r w:rsidRPr="00727DB4">
        <w:rPr>
          <w:u w:color="000000"/>
        </w:rPr>
        <w:tab/>
      </w:r>
      <w:r w:rsidRPr="00727DB4">
        <w:rPr>
          <w:strike/>
          <w:u w:color="000000"/>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727DB4">
        <w:rPr>
          <w:u w:color="000000"/>
        </w:rPr>
        <w:t xml:space="preserve"> </w:t>
      </w:r>
      <w:r w:rsidRPr="00727DB4">
        <w:rPr>
          <w:u w:val="single" w:color="000000"/>
        </w:rPr>
        <w:t>In making appointments, the appointing authorities shall select members who are representative of the racial, gender, and geographical diversity of the State.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snapToGrid w:val="0"/>
        </w:rPr>
        <w:tab/>
      </w:r>
      <w:r w:rsidRPr="00727DB4">
        <w:rPr>
          <w:strike/>
          <w:u w:color="000000" w:themeColor="text1"/>
        </w:rPr>
        <w:t>(C)</w:t>
      </w:r>
      <w:r w:rsidRPr="00727DB4">
        <w:rPr>
          <w:u w:color="000000" w:themeColor="text1"/>
        </w:rPr>
        <w:tab/>
      </w:r>
      <w:r w:rsidRPr="00727DB4">
        <w:rPr>
          <w:strike/>
          <w:u w:color="000000" w:themeColor="text1"/>
        </w:rPr>
        <w:t>Except as provided in subsection (B), members</w:t>
      </w:r>
      <w:r w:rsidRPr="00727DB4">
        <w:rPr>
          <w:u w:color="000000" w:themeColor="text1"/>
        </w:rPr>
        <w:t xml:space="preserve"> </w:t>
      </w:r>
      <w:r w:rsidRPr="00727DB4">
        <w:rPr>
          <w:u w:val="single" w:color="000000" w:themeColor="text1"/>
        </w:rPr>
        <w:t>Members</w:t>
      </w:r>
      <w:r w:rsidRPr="00727DB4">
        <w:rPr>
          <w:u w:color="000000" w:themeColor="text1"/>
        </w:rPr>
        <w:t xml:space="preserve"> shall serve for terms of </w:t>
      </w:r>
      <w:r w:rsidRPr="00727DB4">
        <w:rPr>
          <w:strike/>
          <w:u w:color="000000" w:themeColor="text1"/>
        </w:rPr>
        <w:t>five</w:t>
      </w:r>
      <w:r w:rsidRPr="00727DB4">
        <w:rPr>
          <w:u w:color="000000" w:themeColor="text1"/>
        </w:rPr>
        <w:t xml:space="preserve"> </w:t>
      </w:r>
      <w:r w:rsidRPr="00727DB4">
        <w:rPr>
          <w:u w:val="single"/>
        </w:rPr>
        <w:t>four</w:t>
      </w:r>
      <w:r w:rsidRPr="00727DB4">
        <w:t xml:space="preserve"> </w:t>
      </w:r>
      <w:r w:rsidRPr="00727DB4">
        <w:rPr>
          <w:u w:color="000000" w:themeColor="text1"/>
        </w:rPr>
        <w:t>years and until their successors are appointed and qualify</w:t>
      </w:r>
      <w:r w:rsidRPr="00727DB4">
        <w:rPr>
          <w:strike/>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727DB4">
        <w:rPr>
          <w:u w:color="000000" w:themeColor="text1"/>
        </w:rPr>
        <w:t xml:space="preserve">. </w:t>
      </w:r>
      <w:r w:rsidRPr="00727DB4">
        <w:rPr>
          <w:u w:val="single" w:color="000000" w:themeColor="text1"/>
        </w:rPr>
        <w:t>Except for the Executive Director of the South Carolina Public Employee Benefit Authority, a person 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his appointment.</w:t>
      </w:r>
      <w:r w:rsidRPr="00727DB4">
        <w:rPr>
          <w:u w:color="000000" w:themeColor="text1"/>
        </w:rPr>
        <w:t xml:space="preserve"> Terms are deemed to expire after June thirtieth of the year in which the term is due to expire. Members are appointed for a term and may be removed before the term expires only by the Governor for the reasons provided in Section 1</w:t>
      </w:r>
      <w:r w:rsidRPr="00727DB4">
        <w:rPr>
          <w:u w:color="000000" w:themeColor="text1"/>
        </w:rPr>
        <w:noBreakHyphen/>
        <w:t>3</w:t>
      </w:r>
      <w:r w:rsidRPr="00727DB4">
        <w:rPr>
          <w:u w:color="000000" w:themeColor="text1"/>
        </w:rPr>
        <w:noBreakHyphen/>
        <w:t xml:space="preserve">240(C). </w:t>
      </w:r>
      <w:r w:rsidRPr="00727DB4">
        <w:rPr>
          <w:u w:val="single" w:color="000000" w:themeColor="text1"/>
        </w:rPr>
        <w:t>A member may not be appointed to serve more than two consecutive full four</w:t>
      </w:r>
      <w:r w:rsidRPr="00727DB4">
        <w:rPr>
          <w:u w:val="single" w:color="000000" w:themeColor="text1"/>
        </w:rPr>
        <w:noBreakHyphen/>
        <w:t>year terms. A member serving a second or greater term, beginning July 1, 2016, may not serve an additional consecutive four</w:t>
      </w:r>
      <w:r w:rsidRPr="00727DB4">
        <w:rPr>
          <w:u w:val="single" w:color="000000" w:themeColor="text1"/>
        </w:rPr>
        <w:noBreakHyphen/>
        <w:t>year term upon the expiration of his term pursuant to the provisions of this subsection. A member who has served for ten or more years as of July 1, 2017</w:t>
      </w:r>
      <w:r>
        <w:rPr>
          <w:u w:val="single" w:color="000000" w:themeColor="text1"/>
        </w:rPr>
        <w:t>,</w:t>
      </w:r>
      <w:r w:rsidRPr="00727DB4">
        <w:rPr>
          <w:u w:val="single" w:color="000000" w:themeColor="text1"/>
        </w:rPr>
        <w:t xml:space="preserve"> may complete the term for which he was appointed but may not be reappointed to the commission.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(D)</w:t>
      </w:r>
      <w:r w:rsidRPr="00727DB4">
        <w:rPr>
          <w:u w:val="single" w:color="000000" w:themeColor="text1"/>
        </w:rPr>
        <w:t>(C)</w:t>
      </w:r>
      <w:r w:rsidRPr="00727DB4">
        <w:rPr>
          <w:u w:color="000000" w:themeColor="text1"/>
        </w:rPr>
        <w:tab/>
        <w:t>The commission shall select one of the voting members to serve as chairman and shall select those other officers it determines necessary</w:t>
      </w:r>
      <w:r w:rsidRPr="00727DB4">
        <w:rPr>
          <w:strike/>
          <w:u w:color="000000" w:themeColor="text1"/>
        </w:rPr>
        <w:t>, but the State Treasurer may not serve as chairman</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(D)</w:t>
      </w:r>
      <w:r w:rsidRPr="00727DB4">
        <w:rPr>
          <w:u w:color="000000" w:themeColor="text1"/>
        </w:rPr>
        <w:tab/>
        <w:t>A person may not be appointed to the commission unless the person possesses at least one of the following qualifications: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t>(1)</w:t>
      </w:r>
      <w:r w:rsidRPr="00727DB4">
        <w:rPr>
          <w:u w:color="000000" w:themeColor="text1"/>
        </w:rPr>
        <w:tab/>
        <w:t>the Chartered Financial Analyst credential of the CFA Institute;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the</w:t>
      </w:r>
      <w:r w:rsidRPr="00727DB4">
        <w:rPr>
          <w:u w:color="000000" w:themeColor="text1"/>
        </w:rPr>
        <w:t xml:space="preserve"> </w:t>
      </w:r>
      <w:r w:rsidRPr="00727DB4">
        <w:rPr>
          <w:u w:val="single" w:color="000000" w:themeColor="text1"/>
        </w:rPr>
        <w:t>at least twelve years as a</w:t>
      </w:r>
      <w:r w:rsidRPr="00727DB4">
        <w:rPr>
          <w:u w:color="000000" w:themeColor="text1"/>
        </w:rPr>
        <w:t xml:space="preserve"> Certified Financial Planner </w:t>
      </w:r>
      <w:r w:rsidRPr="00727DB4">
        <w:rPr>
          <w:strike/>
          <w:u w:color="000000" w:themeColor="text1"/>
        </w:rPr>
        <w:t xml:space="preserve">credential of </w:t>
      </w:r>
      <w:r w:rsidRPr="00727DB4">
        <w:rPr>
          <w:u w:val="single" w:color="000000" w:themeColor="text1"/>
        </w:rPr>
        <w:t>credentialed by</w:t>
      </w:r>
      <w:r w:rsidRPr="00727DB4">
        <w:rPr>
          <w:u w:color="000000" w:themeColor="text1"/>
        </w:rPr>
        <w:t xml:space="preserve"> the Certified Financial Planner Board of Standards;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r>
      <w:r w:rsidRPr="00727DB4">
        <w:rPr>
          <w:strike/>
          <w:u w:color="000000" w:themeColor="text1"/>
        </w:rPr>
        <w:t>reserved</w:t>
      </w:r>
      <w:r w:rsidRPr="00727DB4">
        <w:rPr>
          <w:u w:color="000000" w:themeColor="text1"/>
        </w:rPr>
        <w:t xml:space="preserve"> </w:t>
      </w:r>
      <w:r w:rsidRPr="00727DB4">
        <w:rPr>
          <w:u w:val="single" w:color="000000" w:themeColor="text1"/>
        </w:rPr>
        <w:t>the Chartered Alternative Investment Analyst certification of the Chartered Alternative Investment Analyst Association</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at least twenty years professional teaching experience in economics or finance, ten of which must have occurred at a doctorate</w:t>
      </w:r>
      <w:r w:rsidRPr="00727DB4">
        <w:rPr>
          <w:u w:color="000000" w:themeColor="text1"/>
        </w:rPr>
        <w:noBreakHyphen/>
        <w:t>granting university, master’s granting college or university, or a baccalaureate college as classified by the Carnegie Foundation;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an earned Ph.D. in economics or finance from a doctorate</w:t>
      </w:r>
      <w:r w:rsidRPr="00727DB4">
        <w:rPr>
          <w:u w:color="000000" w:themeColor="text1"/>
        </w:rPr>
        <w:noBreakHyphen/>
        <w:t xml:space="preserve">granting institution as classified by the Carnegie Foundation; </w:t>
      </w:r>
      <w:r w:rsidRPr="00727DB4">
        <w:rPr>
          <w:strike/>
          <w:u w:color="000000" w:themeColor="text1"/>
        </w:rPr>
        <w:t>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t>(7)</w:t>
      </w:r>
      <w:r w:rsidRPr="00727DB4">
        <w:rPr>
          <w:u w:color="000000" w:themeColor="text1"/>
        </w:rPr>
        <w:tab/>
        <w:t>the Certified Internal Auditor credential of The Institute of Internal Auditors</w:t>
      </w:r>
      <w:r w:rsidRPr="00727DB4">
        <w:rPr>
          <w:u w:val="single"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(8)</w:t>
      </w:r>
      <w:r w:rsidRPr="00727DB4">
        <w:rPr>
          <w:u w:color="000000" w:themeColor="text1"/>
        </w:rPr>
        <w:tab/>
      </w:r>
      <w:r w:rsidRPr="00727DB4">
        <w:rPr>
          <w:u w:val="single" w:color="000000" w:themeColor="text1"/>
        </w:rPr>
        <w:t>at least twelve years of professional experience in the financial management of pensions or insurance plans;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(9)</w:t>
      </w:r>
      <w:r w:rsidRPr="00727DB4">
        <w:rPr>
          <w:u w:color="000000" w:themeColor="text1"/>
        </w:rPr>
        <w:tab/>
      </w:r>
      <w:r w:rsidRPr="00727DB4">
        <w:rPr>
          <w:u w:val="single" w:color="000000" w:themeColor="text1"/>
        </w:rPr>
        <w:t>at least twelve years of professional experience as a certified public accountant with financial management, pension, or insurance audit expertise</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(E)</w:t>
      </w:r>
      <w:r w:rsidRPr="00727DB4">
        <w:rPr>
          <w:u w:color="000000" w:themeColor="text1"/>
        </w:rPr>
        <w:tab/>
      </w:r>
      <w:r w:rsidRPr="00727DB4">
        <w:rPr>
          <w:strike/>
          <w:u w:color="000000" w:themeColor="text1"/>
        </w:rPr>
        <w:t>Not including the State Treasurer</w:t>
      </w:r>
      <w:r w:rsidRPr="00727DB4">
        <w:rPr>
          <w:u w:color="000000" w:themeColor="text1"/>
        </w:rPr>
        <w:t xml:space="preserve"> </w:t>
      </w:r>
      <w:r w:rsidRPr="00727DB4">
        <w:rPr>
          <w:u w:val="single" w:color="000000" w:themeColor="text1"/>
        </w:rPr>
        <w:t>Except for the member appointed pursuant to subsection (A)(6) and (7)</w:t>
      </w:r>
      <w:r w:rsidRPr="00727DB4">
        <w:rPr>
          <w:u w:color="000000" w:themeColor="text1"/>
        </w:rPr>
        <w:t xml:space="preserve">,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may </w:t>
      </w:r>
      <w:r w:rsidRPr="00727DB4">
        <w:rPr>
          <w:u w:val="single" w:color="000000" w:themeColor="text1"/>
        </w:rPr>
        <w:t>not</w:t>
      </w:r>
      <w:r w:rsidRPr="00727DB4">
        <w:rPr>
          <w:u w:color="000000" w:themeColor="text1"/>
        </w:rPr>
        <w:t xml:space="preserve"> be appointed or continue to serve who is an elected or appointed officer </w:t>
      </w:r>
      <w:r w:rsidRPr="00727DB4">
        <w:rPr>
          <w:strike/>
          <w:u w:color="000000" w:themeColor="text1"/>
        </w:rPr>
        <w:t>or employee</w:t>
      </w:r>
      <w:r w:rsidRPr="00727DB4">
        <w:rPr>
          <w:u w:color="000000" w:themeColor="text1"/>
        </w:rPr>
        <w:t xml:space="preserve"> of the State or any of its political subdivisions, including school districts.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(F)</w:t>
      </w:r>
      <w:r w:rsidRPr="00727DB4">
        <w:rPr>
          <w:u w:color="000000" w:themeColor="text1"/>
        </w:rPr>
        <w:tab/>
        <w:t xml:space="preserve">The Retirement System Investment Commission is established to invest the funds of the retirement system. All of the powers and duties of the State Budget and Control Board as investor in equity securities and the State Treasurer’s function of investing in fixed income instruments are transferred to and devolved upon the Retirement System Investment Commission.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(G)</w:t>
      </w:r>
      <w:r w:rsidRPr="00727DB4">
        <w:rPr>
          <w:u w:color="000000" w:themeColor="text1"/>
        </w:rPr>
        <w:tab/>
      </w:r>
      <w:r w:rsidRPr="00727DB4">
        <w:rPr>
          <w:u w:val="single" w:color="000000" w:themeColor="text1"/>
        </w:rPr>
        <w:t xml:space="preserve">The commission shall employ a chief executive officer who serves at the pleasure of the commission. The chief executive officer is the chief administrative officer of the commission as an agency </w:t>
      </w:r>
      <w:r w:rsidRPr="00727DB4">
        <w:rPr>
          <w:u w:val="single" w:color="000000" w:themeColor="text1"/>
        </w:rPr>
        <w:lastRenderedPageBreak/>
        <w:t>and is charged with the affirmative duty to carry out the mission, policies, and direction of the commission as established by the commission.  The chief executive officer is delegated the authority of the commission necessary, reasonable, and prudent to carry out the operation and management of the commission as an agency and to implement the commission’s decisions and directives. Notwithstanding Section 9</w:t>
      </w:r>
      <w:r w:rsidRPr="00727DB4">
        <w:rPr>
          <w:u w:val="single" w:color="000000" w:themeColor="text1"/>
        </w:rPr>
        <w:noBreakHyphen/>
        <w:t>16</w:t>
      </w:r>
      <w:r w:rsidRPr="00727DB4">
        <w:rPr>
          <w:u w:val="single" w:color="000000" w:themeColor="text1"/>
        </w:rPr>
        <w:noBreakHyphen/>
        <w:t xml:space="preserve">30, the chief executive officer may execute on behalf of the commission any documents necessary to implement a final decision to invest.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(H)(1)</w:t>
      </w:r>
      <w:r w:rsidRPr="00727DB4">
        <w:rPr>
          <w:u w:color="000000" w:themeColor="text1"/>
        </w:rPr>
        <w:tab/>
      </w:r>
      <w:r w:rsidRPr="00727DB4">
        <w:rPr>
          <w:strike/>
          <w:u w:color="000000" w:themeColor="text1"/>
        </w:rPr>
        <w:t>To assist the commission in its investment function, it</w:t>
      </w:r>
      <w:r w:rsidRPr="00727DB4">
        <w:rPr>
          <w:u w:color="000000" w:themeColor="text1"/>
        </w:rPr>
        <w:t xml:space="preserve"> </w:t>
      </w:r>
      <w:r w:rsidRPr="00727DB4">
        <w:rPr>
          <w:u w:val="single" w:color="000000" w:themeColor="text1"/>
        </w:rPr>
        <w:t>The chief executive officer</w:t>
      </w:r>
      <w:r w:rsidRPr="00727DB4">
        <w:rPr>
          <w:u w:color="000000" w:themeColor="text1"/>
        </w:rPr>
        <w:t xml:space="preserve"> shall employ a chief investment officer</w:t>
      </w:r>
      <w:r w:rsidRPr="00727DB4">
        <w:rPr>
          <w:strike/>
          <w:u w:color="000000" w:themeColor="text1"/>
        </w:rPr>
        <w:t>, who under the direction and supervision of the commission, and as its agent</w:t>
      </w:r>
      <w:r w:rsidRPr="00727DB4">
        <w:rPr>
          <w:u w:val="single"/>
        </w:rPr>
        <w:t xml:space="preserve">.  </w:t>
      </w:r>
      <w:r w:rsidRPr="00727DB4">
        <w:rPr>
          <w:u w:val="single" w:color="000000" w:themeColor="text1"/>
        </w:rPr>
        <w:t>The chief investment officer</w:t>
      </w:r>
      <w:r w:rsidRPr="00727DB4">
        <w:rPr>
          <w:u w:color="000000" w:themeColor="text1"/>
        </w:rPr>
        <w:t xml:space="preserve"> shall develop and maintain annual investment plans and invest and oversee the investment of retirement system funds </w:t>
      </w:r>
      <w:r w:rsidRPr="00727DB4">
        <w:rPr>
          <w:u w:val="single" w:color="000000" w:themeColor="text1"/>
        </w:rPr>
        <w:t>subject to the oversight of the chief executive officer</w:t>
      </w:r>
      <w:r w:rsidRPr="00727DB4">
        <w:rPr>
          <w:u w:color="000000" w:themeColor="text1"/>
        </w:rPr>
        <w:t xml:space="preserve">. </w:t>
      </w:r>
      <w:r w:rsidRPr="00727DB4">
        <w:rPr>
          <w:strike/>
          <w:u w:color="000000" w:themeColor="text1"/>
        </w:rPr>
        <w:t>The chief investment officer serves at the pleasure of the commission and must receive the compensation the commission determines appropriate.</w:t>
      </w:r>
      <w:r w:rsidRPr="00727DB4">
        <w:rPr>
          <w:u w:color="000000" w:themeColor="text1"/>
        </w:rPr>
        <w:t xml:space="preserve">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The </w:t>
      </w:r>
      <w:r w:rsidRPr="00727DB4">
        <w:rPr>
          <w:strike/>
          <w:u w:color="000000" w:themeColor="text1"/>
        </w:rPr>
        <w:t>commission may</w:t>
      </w:r>
      <w:r w:rsidRPr="00727DB4">
        <w:rPr>
          <w:u w:color="000000" w:themeColor="text1"/>
        </w:rPr>
        <w:t xml:space="preserve"> </w:t>
      </w:r>
      <w:r w:rsidRPr="00727DB4">
        <w:rPr>
          <w:u w:val="single" w:color="000000" w:themeColor="text1"/>
        </w:rPr>
        <w:t>chief executive officer shall</w:t>
      </w:r>
      <w:r w:rsidRPr="00727DB4">
        <w:rPr>
          <w:u w:color="000000" w:themeColor="text1"/>
        </w:rPr>
        <w:t xml:space="preserve"> employ the other professional, administrative, and clerical personnel </w:t>
      </w:r>
      <w:r w:rsidRPr="00727DB4">
        <w:rPr>
          <w:strike/>
          <w:u w:color="000000" w:themeColor="text1"/>
        </w:rPr>
        <w:t>it</w:t>
      </w:r>
      <w:r w:rsidRPr="00727DB4">
        <w:rPr>
          <w:u w:color="000000" w:themeColor="text1"/>
        </w:rPr>
        <w:t xml:space="preserve"> </w:t>
      </w:r>
      <w:r w:rsidRPr="00727DB4">
        <w:rPr>
          <w:u w:val="single" w:color="000000" w:themeColor="text1"/>
        </w:rPr>
        <w:t>he</w:t>
      </w:r>
      <w:r w:rsidRPr="00727DB4">
        <w:rPr>
          <w:u w:color="000000" w:themeColor="text1"/>
        </w:rPr>
        <w:t xml:space="preserve"> determines necessary </w:t>
      </w:r>
      <w:r w:rsidRPr="00727DB4">
        <w:rPr>
          <w:u w:val="single" w:color="000000" w:themeColor="text1"/>
        </w:rPr>
        <w:t>to support the administration and operation of the commission</w:t>
      </w:r>
      <w:r w:rsidRPr="00727DB4">
        <w:rPr>
          <w:u w:color="000000" w:themeColor="text1"/>
        </w:rPr>
        <w:t xml:space="preserve"> and fix their compensation </w:t>
      </w:r>
      <w:r w:rsidRPr="00727DB4">
        <w:rPr>
          <w:u w:val="single" w:color="000000" w:themeColor="text1"/>
        </w:rPr>
        <w:t>pursuant to an organizational plan approved by the commission</w:t>
      </w:r>
      <w:r w:rsidRPr="00727DB4">
        <w:rPr>
          <w:u w:color="000000" w:themeColor="text1"/>
        </w:rPr>
        <w:t xml:space="preserve">. All employees of the commission are employees at will </w:t>
      </w:r>
      <w:r w:rsidRPr="00727DB4">
        <w:rPr>
          <w:u w:val="single" w:color="000000" w:themeColor="text1"/>
        </w:rPr>
        <w:t>and serve at the pleasure of the chief executive officer</w:t>
      </w:r>
      <w:r w:rsidRPr="00727DB4">
        <w:rPr>
          <w:u w:color="000000" w:themeColor="text1"/>
        </w:rPr>
        <w:t xml:space="preserve">. The compensation of the </w:t>
      </w:r>
      <w:r w:rsidRPr="00727DB4">
        <w:rPr>
          <w:u w:val="single" w:color="000000" w:themeColor="text1"/>
        </w:rPr>
        <w:t>chief executive officer,</w:t>
      </w:r>
      <w:r w:rsidRPr="00727DB4">
        <w:rPr>
          <w:u w:color="000000" w:themeColor="text1"/>
        </w:rPr>
        <w:t xml:space="preserve"> chief investment officer</w:t>
      </w:r>
      <w:r w:rsidRPr="00727DB4">
        <w:rPr>
          <w:u w:val="single" w:color="000000" w:themeColor="text1"/>
        </w:rPr>
        <w:t>,</w:t>
      </w:r>
      <w:r w:rsidRPr="00727DB4">
        <w:rPr>
          <w:u w:color="000000" w:themeColor="text1"/>
        </w:rPr>
        <w:t xml:space="preserve"> and other employees of the commission is not subject to the state compensation plan.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(I)</w:t>
      </w:r>
      <w:r w:rsidRPr="00727DB4">
        <w:rPr>
          <w:u w:color="000000" w:themeColor="text1"/>
        </w:rPr>
        <w:tab/>
      </w:r>
      <w:r w:rsidRPr="00727DB4">
        <w:rPr>
          <w:u w:val="single" w:color="000000" w:themeColor="text1"/>
        </w:rPr>
        <w:t>Notwithstanding Section 1</w:t>
      </w:r>
      <w:r w:rsidRPr="00727DB4">
        <w:rPr>
          <w:u w:val="single" w:color="000000" w:themeColor="text1"/>
        </w:rPr>
        <w:noBreakHyphen/>
        <w:t>7</w:t>
      </w:r>
      <w:r w:rsidRPr="00727DB4">
        <w:rPr>
          <w:u w:val="single" w:color="000000" w:themeColor="text1"/>
        </w:rPr>
        <w:noBreakHyphen/>
        <w:t>170, the commission, in consultation with the Attorney General, may engage, on a fee basis, attorneys necessary to exercise its exclusive authority to invest and manage the retirement system’s assets. The commission shall establish policies and procedures for the retention of attorneys pursuant to this subsection and shall notify the Attorney General of the terms and conditions of a representation upon engagement.  The commission shall provide quarterly reports to the Attorney General on attorneys retained, hourly rates, and estimated maximum fees, which he shall monitor for reasonableness and to ensure consistency with the terms and conditions of the representation.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(J)</w:t>
      </w:r>
      <w:r w:rsidRPr="00727DB4">
        <w:rPr>
          <w:u w:color="000000" w:themeColor="text1"/>
        </w:rPr>
        <w:t>(1)</w:t>
      </w:r>
      <w:r w:rsidRPr="00727DB4">
        <w:rPr>
          <w:u w:color="000000" w:themeColor="text1"/>
        </w:rPr>
        <w:tab/>
        <w:t xml:space="preserve">The administrative costs of the Retirement System Investment Commission must be paid from the earnings of the state retirement system </w:t>
      </w:r>
      <w:r w:rsidRPr="00727DB4">
        <w:rPr>
          <w:strike/>
          <w:u w:color="000000" w:themeColor="text1"/>
        </w:rPr>
        <w:t>in the manner provided in Section 9</w:t>
      </w:r>
      <w:r w:rsidRPr="00727DB4">
        <w:rPr>
          <w:strike/>
          <w:u w:color="000000" w:themeColor="text1"/>
        </w:rPr>
        <w:noBreakHyphen/>
        <w:t>1</w:t>
      </w:r>
      <w:r w:rsidRPr="00727DB4">
        <w:rPr>
          <w:strike/>
          <w:u w:color="000000" w:themeColor="text1"/>
        </w:rPr>
        <w:noBreakHyphen/>
        <w:t>1310</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Effective beginning July 1, 2012,</w:t>
      </w:r>
      <w:r w:rsidRPr="00727DB4">
        <w:rPr>
          <w:u w:color="000000" w:themeColor="text1"/>
        </w:rPr>
        <w:t xml:space="preserve"> Each commission member, </w:t>
      </w:r>
      <w:r w:rsidRPr="00727DB4">
        <w:rPr>
          <w:strike/>
          <w:u w:color="000000" w:themeColor="text1"/>
        </w:rPr>
        <w:t>not including</w:t>
      </w:r>
      <w:r w:rsidRPr="00727DB4">
        <w:rPr>
          <w:u w:color="000000" w:themeColor="text1"/>
        </w:rPr>
        <w:t xml:space="preserve"> </w:t>
      </w:r>
      <w:r w:rsidRPr="00727DB4">
        <w:rPr>
          <w:u w:val="single" w:color="000000" w:themeColor="text1"/>
        </w:rPr>
        <w:t>except for</w:t>
      </w:r>
      <w:r w:rsidRPr="00727DB4">
        <w:rPr>
          <w:u w:color="000000" w:themeColor="text1"/>
        </w:rPr>
        <w:t xml:space="preserve"> the Executive Director of the </w:t>
      </w:r>
      <w:r w:rsidRPr="00727DB4">
        <w:rPr>
          <w:u w:color="000000" w:themeColor="text1"/>
        </w:rPr>
        <w:lastRenderedPageBreak/>
        <w:t xml:space="preserve">South Carolina Public Employee Benefit Authority,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twenty thousand dollars plus mileage and subsistence as provided by law for members of state boards, committees, and commissions </w:t>
      </w:r>
      <w:r w:rsidRPr="00727DB4">
        <w:rPr>
          <w:strike/>
          <w:u w:color="000000" w:themeColor="text1"/>
        </w:rPr>
        <w:t>paid as provided pursuant to item (1) of this subsection</w:t>
      </w:r>
      <w:r w:rsidRPr="00727DB4">
        <w:rPr>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727DB4">
        <w:rPr>
          <w:u w:val="single" w:color="000000" w:themeColor="text1"/>
        </w:rPr>
        <w:t>, if the member is not otherwise eligible</w:t>
      </w:r>
      <w:r w:rsidRPr="00727DB4">
        <w:rPr>
          <w:u w:color="000000" w:themeColor="text1"/>
        </w:rPr>
        <w:t>. Compensation paid on account of the member’s service on the commission is not considered earnable compensation for purposes of any retirement system administered pursuant to this title.”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11.</w:t>
      </w:r>
      <w:r w:rsidRPr="00727DB4">
        <w:rPr>
          <w:u w:color="000000" w:themeColor="text1"/>
        </w:rPr>
        <w:tab/>
        <w:t>Section 9</w:t>
      </w:r>
      <w:r w:rsidRPr="00727DB4">
        <w:rPr>
          <w:u w:color="000000" w:themeColor="text1"/>
        </w:rPr>
        <w:noBreakHyphen/>
        <w:t>16</w:t>
      </w:r>
      <w:r w:rsidRPr="00727DB4">
        <w:rPr>
          <w:u w:color="000000" w:themeColor="text1"/>
        </w:rPr>
        <w:noBreakHyphen/>
        <w:t>330 of the 1976 Code, as last amended by Act 153 of 2005,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“Section 9</w:t>
      </w:r>
      <w:r w:rsidRPr="00727DB4">
        <w:rPr>
          <w:u w:color="000000" w:themeColor="text1"/>
        </w:rPr>
        <w:noBreakHyphen/>
        <w:t>16</w:t>
      </w:r>
      <w:r w:rsidRPr="00727DB4">
        <w:rPr>
          <w:u w:color="000000" w:themeColor="text1"/>
        </w:rPr>
        <w:noBreakHyphen/>
        <w:t>330.</w:t>
      </w:r>
      <w:r w:rsidRPr="00727DB4">
        <w:rPr>
          <w:u w:color="000000" w:themeColor="text1"/>
        </w:rPr>
        <w:tab/>
      </w:r>
      <w:r w:rsidRPr="00727DB4">
        <w:t>(A)</w:t>
      </w:r>
      <w:r w:rsidRPr="00727DB4">
        <w:tab/>
        <w:t xml:space="preserve">The commission shall provide the </w:t>
      </w:r>
      <w:r w:rsidRPr="00727DB4">
        <w:rPr>
          <w:u w:val="single"/>
        </w:rPr>
        <w:t>chief executive officer and the</w:t>
      </w:r>
      <w:r w:rsidRPr="00727DB4">
        <w:t xml:space="preserve"> chief investment officer with a statement of general investment objectives. The commission </w:t>
      </w:r>
      <w:r w:rsidRPr="00727DB4">
        <w:rPr>
          <w:strike/>
        </w:rPr>
        <w:t>shall</w:t>
      </w:r>
      <w:r w:rsidRPr="00727DB4">
        <w:t xml:space="preserve"> also </w:t>
      </w:r>
      <w:r w:rsidRPr="00727DB4">
        <w:rPr>
          <w:u w:val="single"/>
        </w:rPr>
        <w:t>shall</w:t>
      </w:r>
      <w:r w:rsidRPr="00727DB4">
        <w:t xml:space="preserve"> provide the </w:t>
      </w:r>
      <w:r w:rsidRPr="00727DB4">
        <w:rPr>
          <w:u w:val="single"/>
        </w:rPr>
        <w:t>chief executive officer and the</w:t>
      </w:r>
      <w:r w:rsidRPr="00727DB4">
        <w:t xml:space="preserve"> chief investment officer with a statement of actuarial assumptions developed by the system’s actuary and approved by the board. The commission shall review the statement of general investment objectives annually for the purpose of affirming or changing it and advise the </w:t>
      </w:r>
      <w:r w:rsidRPr="00727DB4">
        <w:rPr>
          <w:u w:val="single"/>
        </w:rPr>
        <w:t>chief executive officer and the</w:t>
      </w:r>
      <w:r w:rsidRPr="00727DB4">
        <w:t xml:space="preserve"> chief investment officer of its actions. The retirement system shall provide the commission</w:t>
      </w:r>
      <w:r w:rsidRPr="00727DB4">
        <w:rPr>
          <w:u w:val="single"/>
        </w:rPr>
        <w:t>,</w:t>
      </w:r>
      <w:r w:rsidRPr="00727DB4">
        <w:t xml:space="preserve"> </w:t>
      </w:r>
      <w:r w:rsidRPr="00727DB4">
        <w:rPr>
          <w:strike/>
        </w:rPr>
        <w:t>and</w:t>
      </w:r>
      <w:r w:rsidRPr="00727DB4">
        <w:t xml:space="preserve"> its </w:t>
      </w:r>
      <w:r w:rsidRPr="00727DB4">
        <w:rPr>
          <w:u w:val="single"/>
        </w:rPr>
        <w:t>chief executive officer and</w:t>
      </w:r>
      <w:r w:rsidRPr="00727DB4">
        <w:t xml:space="preserve"> chief investment officer that data or other information needed to prepare the annual investment plan.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val="single" w:color="000000" w:themeColor="text1"/>
        </w:rPr>
        <w:t>(1)</w:t>
      </w:r>
      <w:r w:rsidRPr="00727DB4">
        <w:rPr>
          <w:u w:color="000000" w:themeColor="text1"/>
        </w:rPr>
        <w:tab/>
      </w:r>
      <w:r w:rsidRPr="00727DB4">
        <w:rPr>
          <w:u w:val="single" w:color="000000" w:themeColor="text1"/>
        </w:rPr>
        <w:t>Notwithstanding Section 9</w:t>
      </w:r>
      <w:r w:rsidRPr="00727DB4">
        <w:rPr>
          <w:u w:val="single" w:color="000000" w:themeColor="text1"/>
        </w:rPr>
        <w:noBreakHyphen/>
        <w:t>16</w:t>
      </w:r>
      <w:r w:rsidRPr="00727DB4">
        <w:rPr>
          <w:u w:val="single" w:color="000000" w:themeColor="text1"/>
        </w:rPr>
        <w:noBreakHyphen/>
        <w:t>30(A), the commission’s statement of general investment objectives may include a delegation to the chief investment officer of the final authority to invest an amount not to exceed: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two percent of the total value of portfolio assets for each investment, if the investment is in assets that are publicly tradeable and the investment provides for liquidity in ninety days or less; or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 xml:space="preserve">one percent of the total value of portfolio assets for each investment, if the investment is in assets that are not publicly tradeable or the investment’s liquidity provision is greater than ninety days.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 xml:space="preserve">Any final authority delegated to the chief investment officer pursuant to this subsection must be exercised subject to the oversight of the chief executive officer.  The closing documentation </w:t>
      </w:r>
      <w:r w:rsidRPr="00727DB4">
        <w:rPr>
          <w:u w:val="single" w:color="000000" w:themeColor="text1"/>
        </w:rPr>
        <w:lastRenderedPageBreak/>
        <w:t>of an investment made pursuant to this delegation must include the chief executive officer’s certification that the investment conforms 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u w:val="single"/>
        </w:rPr>
        <w:t>(C)</w:t>
      </w:r>
      <w:r w:rsidRPr="00727DB4">
        <w:tab/>
        <w:t>The annual investment plan must be consistent with actions taken by the commission pursuant to subsection (A) and must include, but is not limited to, the following components: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general operational and investment policies;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investment objectives and performance standards;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investment strategies, which may include indexed or enhanced indexed strategies as the preferred or exclusive strategies for equity investing, and an explanation of the reasons for the selection of each strategy;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industry sector, market sector, issuer, and other allocations of assets that provide diversification in accordance with prudent investment standards, including desired rates of return and acceptable levels of risks for each asset class;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(5)</w:t>
      </w:r>
      <w:r w:rsidRPr="00727DB4">
        <w:tab/>
        <w:t>policies and procedures providing flexibility in responding to market contingencies;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(6)</w:t>
      </w:r>
      <w:r w:rsidRPr="00727DB4">
        <w:tab/>
        <w:t xml:space="preserve">procedures and policies for selecting, monitoring, compensating, and terminating investment consultants, equity investment managers, and other necessary professional service providers; </w:t>
      </w:r>
      <w:r w:rsidRPr="00727DB4">
        <w:rPr>
          <w:strike/>
        </w:rPr>
        <w:t>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(7)</w:t>
      </w:r>
      <w:r w:rsidRPr="00727DB4">
        <w:tab/>
        <w:t>methods for managing the costs of the investment activities</w:t>
      </w:r>
      <w:r w:rsidRPr="00727DB4">
        <w:rPr>
          <w:u w:val="single"/>
        </w:rPr>
        <w:t>;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(8)</w:t>
      </w:r>
      <w:r w:rsidRPr="00727DB4">
        <w:tab/>
      </w:r>
      <w:r w:rsidRPr="00727DB4">
        <w:rPr>
          <w:u w:val="single"/>
        </w:rPr>
        <w:t>a detailed description of the amount and extent of the final authority to invest made by the commission pursuant to subsection (B)</w:t>
      </w:r>
      <w:r w:rsidRPr="00727DB4">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strike/>
        </w:rPr>
        <w:t>(C)</w:t>
      </w:r>
      <w:r w:rsidRPr="00727DB4">
        <w:rPr>
          <w:u w:val="single"/>
        </w:rPr>
        <w:t>(D)</w:t>
      </w:r>
      <w:r w:rsidRPr="00727DB4">
        <w:tab/>
        <w:t>In developing the annual investment plan, the chief investment officer shall:</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diversify the investments of the retirement systems, unless the commission reasonably determines that, because of special circumstances, it is clearly not prudent to do so;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lastRenderedPageBreak/>
        <w:tab/>
      </w:r>
      <w:r w:rsidRPr="00727DB4">
        <w:tab/>
        <w:t>(2)</w:t>
      </w:r>
      <w:r w:rsidRPr="00727DB4">
        <w:tab/>
        <w:t>make a reasonable effort to verify facts relevant to the investment of assets of t</w:t>
      </w:r>
      <w:r>
        <w:t>he retirement systems.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(E)</w:t>
      </w:r>
      <w:r w:rsidRPr="00727DB4">
        <w:rPr>
          <w:u w:color="000000" w:themeColor="text1"/>
        </w:rPr>
        <w:tab/>
      </w:r>
      <w:r w:rsidRPr="00727DB4">
        <w:rPr>
          <w:u w:val="single" w:color="000000" w:themeColor="text1"/>
        </w:rPr>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12.</w:t>
      </w:r>
      <w:r w:rsidRPr="00727DB4">
        <w:rPr>
          <w:u w:color="000000" w:themeColor="text1"/>
        </w:rPr>
        <w:tab/>
        <w:t>Section 9</w:t>
      </w:r>
      <w:r w:rsidRPr="00727DB4">
        <w:rPr>
          <w:u w:color="000000" w:themeColor="text1"/>
        </w:rPr>
        <w:noBreakHyphen/>
        <w:t>16</w:t>
      </w:r>
      <w:r w:rsidRPr="00727DB4">
        <w:rPr>
          <w:u w:color="000000" w:themeColor="text1"/>
        </w:rPr>
        <w:noBreakHyphen/>
        <w:t xml:space="preserve">380 of the 1976 Code, as added by Act 278 of 2012, is amended to read: </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Pr="00727DB4">
        <w:rPr>
          <w:u w:color="000000" w:themeColor="text1"/>
        </w:rPr>
        <w:noBreakHyphen/>
        <w:t>16</w:t>
      </w:r>
      <w:r w:rsidRPr="00727DB4">
        <w:rPr>
          <w:u w:color="000000" w:themeColor="text1"/>
        </w:rPr>
        <w:noBreakHyphen/>
        <w:t>380.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Retirement System Investment Commission. The audit firm must be selected by the State </w:t>
      </w:r>
      <w:r w:rsidRPr="00727DB4">
        <w:rPr>
          <w:strike/>
          <w:u w:color="000000" w:themeColor="text1"/>
        </w:rPr>
        <w:t>Inspector General</w:t>
      </w:r>
      <w:r w:rsidRPr="00727DB4">
        <w:rPr>
          <w:u w:color="000000" w:themeColor="text1"/>
        </w:rPr>
        <w:t xml:space="preserve"> </w:t>
      </w:r>
      <w:r w:rsidRPr="00727DB4">
        <w:rPr>
          <w:u w:val="single" w:color="000000" w:themeColor="text1"/>
        </w:rPr>
        <w:t>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the </w:t>
      </w:r>
      <w:r w:rsidRPr="00727DB4">
        <w:rPr>
          <w:strike/>
          <w:u w:color="000000" w:themeColor="text1"/>
        </w:rPr>
        <w:t>previous fiscal year</w:t>
      </w:r>
      <w:r w:rsidRPr="00727DB4">
        <w:rPr>
          <w:u w:color="000000" w:themeColor="text1"/>
        </w:rPr>
        <w:t xml:space="preserve"> </w:t>
      </w:r>
      <w:r w:rsidRPr="00727DB4">
        <w:rPr>
          <w:u w:val="single" w:color="000000" w:themeColor="text1"/>
        </w:rPr>
        <w:t>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13.</w:t>
      </w:r>
      <w:r w:rsidRPr="00727DB4">
        <w:rPr>
          <w:u w:color="000000" w:themeColor="text1"/>
        </w:rPr>
        <w:tab/>
        <w:t>Article 1, Chapter 16, Title 9 of the 1976 Code is amended by adding:</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w:t>
      </w:r>
      <w:r w:rsidRPr="00727DB4">
        <w:rPr>
          <w:u w:color="000000" w:themeColor="text1"/>
        </w:rPr>
        <w:tab/>
        <w:t>9</w:t>
      </w:r>
      <w:r w:rsidRPr="00727DB4">
        <w:rPr>
          <w:u w:color="000000" w:themeColor="text1"/>
        </w:rPr>
        <w:noBreakHyphen/>
        <w:t>16</w:t>
      </w:r>
      <w:r w:rsidRPr="00727DB4">
        <w:rPr>
          <w:u w:color="000000" w:themeColor="text1"/>
        </w:rPr>
        <w:noBreakHyphen/>
        <w:t xml:space="preserve">100. </w:t>
      </w:r>
      <w:r w:rsidRPr="00727DB4">
        <w:rPr>
          <w:u w:color="000000" w:themeColor="text1"/>
        </w:rPr>
        <w:tab/>
        <w:t>(A)</w:t>
      </w:r>
      <w:r w:rsidRPr="00727DB4">
        <w:rPr>
          <w:u w:color="000000" w:themeColor="text1"/>
        </w:rPr>
        <w:tab/>
        <w:t>A lobbyist, as defined in Section 2</w:t>
      </w:r>
      <w:r w:rsidRPr="00727DB4">
        <w:rPr>
          <w:u w:color="000000" w:themeColor="text1"/>
        </w:rPr>
        <w:noBreakHyphen/>
        <w:t>17</w:t>
      </w:r>
      <w:r w:rsidRPr="00727DB4">
        <w:rPr>
          <w:u w:color="000000" w:themeColor="text1"/>
        </w:rPr>
        <w:noBreakHyphen/>
        <w:t>10(13), may not contact any member of the commission, the chief executive officer, chief investment officer, or staff member of the commission to solicit the investment of funds with a particular entity regardless of whether the lobbyist represents that entity.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 xml:space="preserve">The commission may not make an investment with or invest in a fund managed by an external investment manager if a placement agent receives compensation as a result of the commission’s investment.  For purposes of this subsection, ‘placement agent’ means an individual directly or indirectly hired, engaged, or retained </w:t>
      </w:r>
      <w:r w:rsidRPr="00727DB4">
        <w:rPr>
          <w:u w:color="000000" w:themeColor="text1"/>
        </w:rPr>
        <w:lastRenderedPageBreak/>
        <w:t>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(C)</w:t>
      </w:r>
      <w:r w:rsidRPr="00727DB4">
        <w:rPr>
          <w:u w:color="000000" w:themeColor="text1"/>
        </w:rPr>
        <w:tab/>
        <w:t>The commission may not invest in any asset or with any entity in which a commissioner or his immediate family has any interest.  This subsection does not apply to publicly traded securities.”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IV</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Administration of Retirement System Funds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14.</w:t>
      </w:r>
      <w:r w:rsidRPr="00727DB4">
        <w:rPr>
          <w:u w:color="000000" w:themeColor="text1"/>
        </w:rPr>
        <w:tab/>
        <w:t>Section 9</w:t>
      </w:r>
      <w:r w:rsidRPr="00727DB4">
        <w:rPr>
          <w:u w:color="000000" w:themeColor="text1"/>
        </w:rPr>
        <w:noBreakHyphen/>
        <w:t>1</w:t>
      </w:r>
      <w:r w:rsidRPr="00727DB4">
        <w:rPr>
          <w:u w:color="000000" w:themeColor="text1"/>
        </w:rPr>
        <w:noBreakHyphen/>
        <w:t>1310(A) of the 1976 Code, as last amended by Act 278 of 2012, is further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“(A)</w:t>
      </w:r>
      <w:r w:rsidRPr="00727DB4">
        <w:rPr>
          <w:u w:color="000000" w:themeColor="text1"/>
        </w:rPr>
        <w:tab/>
        <w:t xml:space="preserve">The South Carolina Public Employee Benefit Authority and the </w:t>
      </w:r>
      <w:r w:rsidRPr="00727DB4">
        <w:rPr>
          <w:strike/>
          <w:u w:color="000000" w:themeColor="text1"/>
        </w:rPr>
        <w:t>State Fiscal Accountability Authority, or its successor,</w:t>
      </w:r>
      <w:r w:rsidRPr="00727DB4">
        <w:rPr>
          <w:u w:color="000000" w:themeColor="text1"/>
        </w:rPr>
        <w:t xml:space="preserve"> </w:t>
      </w:r>
      <w:r w:rsidRPr="00727DB4">
        <w:rPr>
          <w:u w:val="single" w:color="000000" w:themeColor="text1"/>
        </w:rPr>
        <w:t>Retirement System Investment Commission</w:t>
      </w:r>
      <w:r w:rsidRPr="00727DB4">
        <w:rPr>
          <w:u w:color="000000" w:themeColor="text1"/>
        </w:rPr>
        <w:t xml:space="preserve"> are cotrustees of the </w:t>
      </w:r>
      <w:r w:rsidRPr="00727DB4">
        <w:rPr>
          <w:u w:val="single" w:color="000000" w:themeColor="text1"/>
        </w:rPr>
        <w:t>assets of the</w:t>
      </w:r>
      <w:r w:rsidRPr="00727DB4">
        <w:rPr>
          <w:u w:color="000000" w:themeColor="text1"/>
        </w:rPr>
        <w:t xml:space="preserve"> retirement system as </w:t>
      </w:r>
      <w:r w:rsidRPr="00727DB4">
        <w:rPr>
          <w:u w:val="single" w:color="000000" w:themeColor="text1"/>
        </w:rPr>
        <w:t>‘assets’ and</w:t>
      </w:r>
      <w:r w:rsidRPr="00727DB4">
        <w:rPr>
          <w:u w:color="000000" w:themeColor="text1"/>
        </w:rPr>
        <w:t xml:space="preserve"> ‘retirement system’ </w:t>
      </w:r>
      <w:r w:rsidRPr="00727DB4">
        <w:rPr>
          <w:strike/>
          <w:u w:color="000000" w:themeColor="text1"/>
        </w:rPr>
        <w:t>is</w:t>
      </w:r>
      <w:r w:rsidRPr="00727DB4">
        <w:rPr>
          <w:u w:color="000000" w:themeColor="text1"/>
        </w:rPr>
        <w:t xml:space="preserve"> </w:t>
      </w:r>
      <w:r w:rsidRPr="00727DB4">
        <w:rPr>
          <w:u w:val="single" w:color="000000" w:themeColor="text1"/>
        </w:rPr>
        <w:t>are</w:t>
      </w:r>
      <w:r w:rsidRPr="00727DB4">
        <w:rPr>
          <w:u w:color="000000" w:themeColor="text1"/>
        </w:rPr>
        <w:t xml:space="preserve"> defined in Section 9</w:t>
      </w:r>
      <w:r w:rsidRPr="00727DB4">
        <w:rPr>
          <w:u w:color="000000" w:themeColor="text1"/>
        </w:rPr>
        <w:noBreakHyphen/>
        <w:t>16</w:t>
      </w:r>
      <w:r w:rsidRPr="00727DB4">
        <w:rPr>
          <w:u w:color="000000" w:themeColor="text1"/>
        </w:rPr>
        <w:noBreakHyphen/>
        <w:t>10</w:t>
      </w:r>
      <w:r w:rsidRPr="00727DB4">
        <w:rPr>
          <w:u w:val="single" w:color="000000" w:themeColor="text1"/>
        </w:rPr>
        <w:t>(1) and</w:t>
      </w:r>
      <w:r w:rsidRPr="00727DB4">
        <w:t xml:space="preserve"> </w:t>
      </w:r>
      <w:r w:rsidRPr="00727DB4">
        <w:rPr>
          <w:u w:color="000000" w:themeColor="text1"/>
        </w:rPr>
        <w:t xml:space="preserve">(8) </w:t>
      </w:r>
      <w:r w:rsidRPr="00727DB4">
        <w:rPr>
          <w:strike/>
          <w:u w:color="000000" w:themeColor="text1"/>
        </w:rPr>
        <w:t>in performing the functions imposed on them by law in the governance of the Retirement System</w:t>
      </w:r>
      <w:r w:rsidRPr="00727DB4">
        <w:rPr>
          <w:u w:color="000000" w:themeColor="text1"/>
        </w:rPr>
        <w:t xml:space="preserve">. Notwithstanding any other provision of law, any reference in law to the trustee of the </w:t>
      </w:r>
      <w:r w:rsidRPr="00727DB4">
        <w:rPr>
          <w:u w:val="single" w:color="000000" w:themeColor="text1"/>
        </w:rPr>
        <w:t xml:space="preserve">assets of the </w:t>
      </w:r>
      <w:r w:rsidRPr="00727DB4">
        <w:rPr>
          <w:u w:color="000000" w:themeColor="text1"/>
        </w:rPr>
        <w:t xml:space="preserve">Retirement System must be construed to conform to the cotrusteeship as provided in this subsection. </w:t>
      </w:r>
      <w:r w:rsidRPr="00727DB4">
        <w:rPr>
          <w:u w:val="single" w:color="000000" w:themeColor="text1"/>
        </w:rPr>
        <w:t>The Public Employee Benefit Authority shall hold the assets of the Retirement System in a group trust as provided in Section 9</w:t>
      </w:r>
      <w:r w:rsidRPr="00727DB4">
        <w:rPr>
          <w:u w:val="single" w:color="000000" w:themeColor="text1"/>
        </w:rPr>
        <w:noBreakHyphen/>
        <w:t>16</w:t>
      </w:r>
      <w:r w:rsidRPr="00727DB4">
        <w:rPr>
          <w:u w:val="single" w:color="000000" w:themeColor="text1"/>
        </w:rPr>
        <w:noBreakHyphen/>
        <w:t>20.</w:t>
      </w:r>
      <w:r w:rsidRPr="00727DB4">
        <w:rPr>
          <w:u w:color="000000" w:themeColor="text1"/>
        </w:rPr>
        <w:t xml:space="preserve"> The Retirement System Investment Commission shall invest and reinvest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retirement system </w:t>
      </w:r>
      <w:r w:rsidRPr="00727DB4">
        <w:rPr>
          <w:strike/>
          <w:u w:color="000000" w:themeColor="text1"/>
        </w:rPr>
        <w:t>as ‘retirement system’ is defined in Section 9</w:t>
      </w:r>
      <w:r w:rsidRPr="00727DB4">
        <w:rPr>
          <w:strike/>
          <w:u w:color="000000" w:themeColor="text1"/>
        </w:rPr>
        <w:noBreakHyphen/>
        <w:t>16</w:t>
      </w:r>
      <w:r w:rsidRPr="00727DB4">
        <w:rPr>
          <w:strike/>
          <w:u w:color="000000" w:themeColor="text1"/>
        </w:rPr>
        <w:noBreakHyphen/>
        <w:t>10(8)</w:t>
      </w:r>
      <w:r w:rsidRPr="00727DB4">
        <w:rPr>
          <w:u w:color="000000" w:themeColor="text1"/>
        </w:rPr>
        <w:t>, subject to all the terms, conditions, limitations, and restrictions imposed by Section 16, Article X of the South Carolina Constitution, 1895, subsection (B) of this section, and Chapter 16 of this title.”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15.</w:t>
      </w:r>
      <w:r w:rsidRPr="00727DB4">
        <w:rPr>
          <w:u w:color="000000" w:themeColor="text1"/>
        </w:rPr>
        <w:tab/>
        <w:t>Section 9</w:t>
      </w:r>
      <w:r w:rsidRPr="00727DB4">
        <w:rPr>
          <w:u w:color="000000" w:themeColor="text1"/>
        </w:rPr>
        <w:noBreakHyphen/>
        <w:t>1</w:t>
      </w:r>
      <w:r w:rsidRPr="00727DB4">
        <w:rPr>
          <w:u w:color="000000" w:themeColor="text1"/>
        </w:rPr>
        <w:noBreakHyphen/>
        <w:t>1320 of the 1976 Code is amended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Pr="00727DB4">
        <w:rPr>
          <w:u w:color="000000" w:themeColor="text1"/>
        </w:rPr>
        <w:noBreakHyphen/>
        <w:t>1</w:t>
      </w:r>
      <w:r w:rsidRPr="00727DB4">
        <w:rPr>
          <w:u w:color="000000" w:themeColor="text1"/>
        </w:rPr>
        <w:noBreakHyphen/>
        <w:t>1320.</w:t>
      </w:r>
      <w:r w:rsidRPr="00727DB4">
        <w:rPr>
          <w:u w:color="000000" w:themeColor="text1"/>
        </w:rPr>
        <w:tab/>
      </w:r>
      <w:r w:rsidRPr="00727DB4">
        <w:rPr>
          <w:u w:val="single" w:color="000000" w:themeColor="text1"/>
        </w:rPr>
        <w:t>(A)</w:t>
      </w:r>
      <w:r w:rsidRPr="00727DB4">
        <w:rPr>
          <w:u w:color="000000" w:themeColor="text1"/>
        </w:rPr>
        <w:tab/>
        <w:t xml:space="preserve">The </w:t>
      </w:r>
      <w:r w:rsidRPr="00727DB4">
        <w:rPr>
          <w:strike/>
          <w:u w:color="000000" w:themeColor="text1"/>
        </w:rPr>
        <w:t>State Treasurer</w:t>
      </w:r>
      <w:r w:rsidRPr="00727DB4">
        <w:rPr>
          <w:u w:color="000000" w:themeColor="text1"/>
        </w:rPr>
        <w:t xml:space="preserve"> </w:t>
      </w:r>
      <w:r w:rsidRPr="00727DB4">
        <w:rPr>
          <w:u w:val="single" w:color="000000" w:themeColor="text1"/>
        </w:rPr>
        <w:t>board</w:t>
      </w:r>
      <w:r w:rsidRPr="00727DB4">
        <w:rPr>
          <w:u w:color="000000" w:themeColor="text1"/>
        </w:rPr>
        <w:t xml:space="preserve"> </w:t>
      </w:r>
      <w:r w:rsidRPr="00727DB4">
        <w:rPr>
          <w:strike/>
          <w:u w:color="000000" w:themeColor="text1"/>
        </w:rPr>
        <w:t>shall be</w:t>
      </w:r>
      <w:r w:rsidRPr="00727DB4">
        <w:rPr>
          <w:u w:color="000000" w:themeColor="text1"/>
        </w:rPr>
        <w:t xml:space="preserve"> </w:t>
      </w:r>
      <w:r w:rsidRPr="00727DB4">
        <w:rPr>
          <w:u w:val="single" w:color="000000" w:themeColor="text1"/>
        </w:rPr>
        <w:t>is</w:t>
      </w:r>
      <w:r w:rsidRPr="00727DB4">
        <w:rPr>
          <w:u w:color="000000" w:themeColor="text1"/>
        </w:rPr>
        <w:t xml:space="preserve"> the custodian of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w:t>
      </w:r>
      <w:r w:rsidRPr="00727DB4">
        <w:rPr>
          <w:u w:val="single" w:color="000000" w:themeColor="text1"/>
        </w:rPr>
        <w:t>Retirement</w:t>
      </w:r>
      <w:r w:rsidRPr="00727DB4">
        <w:rPr>
          <w:u w:color="000000" w:themeColor="text1"/>
        </w:rPr>
        <w:t xml:space="preserve"> System </w:t>
      </w:r>
      <w:r w:rsidRPr="00727DB4">
        <w:rPr>
          <w:u w:val="single" w:color="000000" w:themeColor="text1"/>
        </w:rPr>
        <w:t>as ‘assets’ and ‘retirement system’ are defined in Section 9</w:t>
      </w:r>
      <w:r w:rsidRPr="00727DB4">
        <w:rPr>
          <w:u w:val="single" w:color="000000" w:themeColor="text1"/>
        </w:rPr>
        <w:noBreakHyphen/>
        <w:t>16</w:t>
      </w:r>
      <w:r w:rsidRPr="00727DB4">
        <w:rPr>
          <w:u w:val="single" w:color="000000" w:themeColor="text1"/>
        </w:rPr>
        <w:noBreakHyphen/>
        <w:t xml:space="preserve">10(1) and (8), </w:t>
      </w:r>
      <w:r w:rsidRPr="00727DB4">
        <w:rPr>
          <w:u w:val="single" w:color="000000" w:themeColor="text1"/>
        </w:rPr>
        <w:lastRenderedPageBreak/>
        <w:t>and the Retirement System Investment Commission has the exclusive authority to select the custodial bank, provided, however, that the Public Employee Benefit Authority is a third</w:t>
      </w:r>
      <w:r w:rsidRPr="00727DB4">
        <w:rPr>
          <w:u w:val="single" w:color="000000" w:themeColor="text1"/>
        </w:rPr>
        <w:noBreakHyphen/>
        <w:t>party beneficiary of the contract with the custodial bank with full rights to information under them</w:t>
      </w:r>
      <w:r w:rsidRPr="00727DB4">
        <w:rPr>
          <w:u w:color="000000" w:themeColor="text1"/>
        </w:rPr>
        <w:t xml:space="preserve">. </w:t>
      </w:r>
      <w:r w:rsidRPr="00727DB4">
        <w:rPr>
          <w:strike/>
          <w:u w:color="000000" w:themeColor="text1"/>
        </w:rPr>
        <w:t>All payments from such funds shall be made by him only upon vouchers signed by two persons designated by the Board.</w:t>
      </w:r>
      <w:r w:rsidRPr="00727DB4">
        <w:rPr>
          <w:u w:color="000000" w:themeColor="text1"/>
        </w:rPr>
        <w:t xml:space="preserve"> </w:t>
      </w:r>
      <w:r w:rsidRPr="00727DB4">
        <w:rPr>
          <w:u w:val="single" w:color="000000" w:themeColor="text1"/>
        </w:rPr>
        <w:t>The custodial banking agreement may provide for electronic signatory approval.</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(B)(1)</w:t>
      </w:r>
      <w:r w:rsidRPr="00727DB4">
        <w:rPr>
          <w:u w:color="000000" w:themeColor="text1"/>
        </w:rPr>
        <w:tab/>
      </w:r>
      <w:r w:rsidRPr="00727DB4">
        <w:rPr>
          <w:u w:val="single" w:color="000000" w:themeColor="text1"/>
        </w:rPr>
        <w:t>A custodial bank selected by the commission must: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be a United States domiciled trust company and a member of the Federal Reserve;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have in excess of one trillion dollars of assets under custody;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(c)</w:t>
      </w:r>
      <w:r w:rsidRPr="00727DB4">
        <w:rPr>
          <w:u w:color="000000" w:themeColor="text1"/>
        </w:rPr>
        <w:tab/>
      </w:r>
      <w:r w:rsidRPr="00727DB4">
        <w:rPr>
          <w:u w:val="single" w:color="000000" w:themeColor="text1"/>
        </w:rPr>
        <w:t>have provided custody services for at least the previous fifteen years;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(d)</w:t>
      </w:r>
      <w:r w:rsidRPr="00727DB4">
        <w:rPr>
          <w:u w:color="000000" w:themeColor="text1"/>
        </w:rPr>
        <w:tab/>
      </w:r>
      <w:r w:rsidRPr="00727DB4">
        <w:rPr>
          <w:u w:val="single" w:color="000000" w:themeColor="text1"/>
        </w:rPr>
        <w:t>provide custody services to other public fund institutional clients that individually have assets under management that meet or exceed the amount of assets managed by the commission.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Nothing in this subsection prohibits the commission from imposing more stringent or additional qualifications as part of its selection process.</w:t>
      </w:r>
      <w:r w:rsidRPr="00727DB4">
        <w:rPr>
          <w:u w:color="000000" w:themeColor="text1"/>
        </w:rPr>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V</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Miscellaneous and Time Effective</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16.</w:t>
      </w:r>
      <w:r w:rsidRPr="00727DB4">
        <w:rPr>
          <w:u w:color="000000" w:themeColor="text1"/>
        </w:rPr>
        <w:tab/>
        <w:t>Section 1</w:t>
      </w:r>
      <w:r w:rsidRPr="00727DB4">
        <w:rPr>
          <w:u w:color="000000" w:themeColor="text1"/>
        </w:rPr>
        <w:noBreakHyphen/>
        <w:t>3</w:t>
      </w:r>
      <w:r w:rsidRPr="00727DB4">
        <w:rPr>
          <w:u w:color="000000" w:themeColor="text1"/>
        </w:rPr>
        <w:noBreakHyphen/>
        <w:t>240(C)(1) of the 1976 Code, as last amended by Act 275 of 2016, is further amended by adding appropriately lettered subitems to read: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t>South Carolina Retirement Investment Commission members appointed by the Governor or members of the General Assembly;</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xml:space="preserve"> ( )</w:t>
      </w:r>
      <w:r w:rsidRPr="00727DB4">
        <w:rPr>
          <w:u w:color="000000" w:themeColor="text1"/>
        </w:rPr>
        <w:tab/>
        <w:t>South Carolina Public Benefit Authority members.”</w:t>
      </w:r>
    </w:p>
    <w:p w:rsidR="005921B9" w:rsidRPr="00727DB4" w:rsidRDefault="005921B9" w:rsidP="005921B9"/>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SECTION</w:t>
      </w:r>
      <w:r w:rsidRPr="00727DB4">
        <w:tab/>
        <w:t>17.</w:t>
      </w:r>
      <w:r w:rsidRPr="00727DB4">
        <w:tab/>
        <w:t xml:space="preserve">Section 9-16-50(A) of the 1976 Code, as last amended by Act 153 of 2005, is further amended to read: </w:t>
      </w:r>
    </w:p>
    <w:p w:rsidR="005921B9" w:rsidRPr="00727DB4" w:rsidRDefault="005921B9" w:rsidP="005921B9"/>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t>“(A)</w:t>
      </w:r>
      <w:r w:rsidRPr="00727DB4">
        <w:tab/>
        <w:t>In investing and managing assets of a retirement system pursuant to Section 9</w:t>
      </w:r>
      <w:r w:rsidRPr="00727DB4">
        <w:noBreakHyphen/>
        <w:t>16</w:t>
      </w:r>
      <w:r w:rsidRPr="00727DB4">
        <w:noBreakHyphen/>
        <w:t>40, the commission: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shall consider among other circumstances: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(a)</w:t>
      </w:r>
      <w:r w:rsidRPr="00727DB4">
        <w:tab/>
        <w:t>general economic conditions;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lastRenderedPageBreak/>
        <w:tab/>
      </w:r>
      <w:r w:rsidRPr="00727DB4">
        <w:tab/>
      </w:r>
      <w:r w:rsidRPr="00727DB4">
        <w:tab/>
        <w:t>(b)</w:t>
      </w:r>
      <w:r w:rsidRPr="00727DB4">
        <w:tab/>
        <w:t>the possible effect of inflation or deflation;</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(c)</w:t>
      </w:r>
      <w:r w:rsidRPr="00727DB4">
        <w:tab/>
        <w:t>the role that each investment or course of action plays within the overall portfolio of the retirement system;</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(d)</w:t>
      </w:r>
      <w:r w:rsidRPr="00727DB4">
        <w:tab/>
        <w:t>needs for liquidity, regularity of income, and preservation or appreciation of capital; 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(e)</w:t>
      </w:r>
      <w:r w:rsidRPr="00727DB4">
        <w:tab/>
        <w:t>the adequacy of funding for the plan based on reasonable actuarial factors;</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shall diversify the investments of the retirement system unless the commission reasonably determines that, because of special circumstances, it is clearly prudent not to do so;</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(3)</w:t>
      </w:r>
      <w:r w:rsidRPr="00727DB4">
        <w:tab/>
        <w:t xml:space="preserve">shall make a reasonable effort to verify facts relevant to the investment and management of assets of a retirement system; </w:t>
      </w:r>
      <w:r w:rsidRPr="00727DB4">
        <w:rPr>
          <w:u w:val="single"/>
        </w:rPr>
        <w:t>and</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may invest in any kind of property or type of investment consistent with this chapter and Section 9</w:t>
      </w:r>
      <w:r w:rsidRPr="00727DB4">
        <w:noBreakHyphen/>
        <w:t>1</w:t>
      </w:r>
      <w:r w:rsidRPr="00727DB4">
        <w:noBreakHyphen/>
        <w:t>1310</w:t>
      </w:r>
      <w:bookmarkStart w:id="5" w:name="temp"/>
      <w:bookmarkEnd w:id="5"/>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strike/>
        </w:rPr>
        <w:t>(5)</w:t>
      </w:r>
      <w:r w:rsidRPr="00727DB4">
        <w:tab/>
      </w:r>
      <w:r w:rsidRPr="00727DB4">
        <w:rPr>
          <w:strike/>
        </w:rPr>
        <w:t>may consider benefits created by an investment in addition to investment return only if the commission determines that the investment providing these collateral benefits would be prudent even without the collateral benefits</w:t>
      </w:r>
      <w:r w:rsidRPr="00727DB4">
        <w:t>.”</w:t>
      </w: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921B9" w:rsidRPr="00727DB4"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18.</w:t>
      </w:r>
      <w:r w:rsidRPr="00727DB4">
        <w:rPr>
          <w:u w:color="000000" w:themeColor="text1"/>
        </w:rPr>
        <w:tab/>
        <w:t>Sections 9</w:t>
      </w:r>
      <w:r w:rsidRPr="00727DB4">
        <w:rPr>
          <w:u w:color="000000" w:themeColor="text1"/>
        </w:rPr>
        <w:noBreakHyphen/>
        <w:t>4</w:t>
      </w:r>
      <w:r w:rsidRPr="00727DB4">
        <w:rPr>
          <w:u w:color="000000" w:themeColor="text1"/>
        </w:rPr>
        <w:noBreakHyphen/>
        <w:t>45, 9</w:t>
      </w:r>
      <w:r w:rsidRPr="00727DB4">
        <w:rPr>
          <w:u w:color="000000" w:themeColor="text1"/>
        </w:rPr>
        <w:noBreakHyphen/>
        <w:t>8</w:t>
      </w:r>
      <w:r w:rsidRPr="00727DB4">
        <w:rPr>
          <w:u w:color="000000" w:themeColor="text1"/>
        </w:rPr>
        <w:noBreakHyphen/>
        <w:t>170, 9</w:t>
      </w:r>
      <w:r w:rsidRPr="00727DB4">
        <w:rPr>
          <w:u w:color="000000" w:themeColor="text1"/>
        </w:rPr>
        <w:noBreakHyphen/>
        <w:t>9</w:t>
      </w:r>
      <w:r w:rsidRPr="00727DB4">
        <w:rPr>
          <w:u w:color="000000" w:themeColor="text1"/>
        </w:rPr>
        <w:noBreakHyphen/>
        <w:t>160, 9</w:t>
      </w:r>
      <w:r w:rsidRPr="00727DB4">
        <w:rPr>
          <w:u w:color="000000" w:themeColor="text1"/>
        </w:rPr>
        <w:noBreakHyphen/>
        <w:t>10</w:t>
      </w:r>
      <w:r w:rsidRPr="00727DB4">
        <w:rPr>
          <w:u w:color="000000" w:themeColor="text1"/>
        </w:rPr>
        <w:noBreakHyphen/>
        <w:t>80, and 9</w:t>
      </w:r>
      <w:r w:rsidRPr="00727DB4">
        <w:rPr>
          <w:u w:color="000000" w:themeColor="text1"/>
        </w:rPr>
        <w:noBreakHyphen/>
        <w:t>11</w:t>
      </w:r>
      <w:r w:rsidRPr="00727DB4">
        <w:rPr>
          <w:u w:color="000000" w:themeColor="text1"/>
        </w:rPr>
        <w:noBreakHyphen/>
        <w:t>25</w:t>
      </w:r>
      <w:r>
        <w:rPr>
          <w:u w:color="000000" w:themeColor="text1"/>
        </w:rPr>
        <w:t>0 of the 1976 Code are repealed.</w:t>
      </w:r>
    </w:p>
    <w:p w:rsidR="005921B9" w:rsidRPr="00D7127D"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1B9" w:rsidRDefault="005921B9" w:rsidP="00592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9</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r>
        <w:rPr>
          <w:color w:val="000000" w:themeColor="text1"/>
          <w:u w:color="000000" w:themeColor="text1"/>
        </w:rPr>
        <w:tab/>
      </w:r>
    </w:p>
    <w:p w:rsidR="00AD0167" w:rsidRDefault="0010776B" w:rsidP="00AD0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D0167" w:rsidSect="00824B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4A3" w:rsidRDefault="00D454A3" w:rsidP="009F0C77">
      <w:r>
        <w:separator/>
      </w:r>
    </w:p>
  </w:endnote>
  <w:endnote w:type="continuationSeparator" w:id="0">
    <w:p w:rsidR="00D454A3" w:rsidRDefault="00D45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A001CB-F745-48F2-984C-7E1FC604A905}"/>
    <w:embedBold r:id="rId2" w:fontKey="{020D6495-BE30-4F9A-89D5-2712F39C9552}"/>
    <w:embedItalic r:id="rId3" w:fontKey="{2C853987-BF03-4A9D-BBC9-C867ACDD8AF5}"/>
  </w:font>
  <w:font w:name="Calibri">
    <w:panose1 w:val="020F0502020204030204"/>
    <w:charset w:val="00"/>
    <w:family w:val="swiss"/>
    <w:pitch w:val="variable"/>
    <w:sig w:usb0="E00002FF" w:usb1="4000ACFF" w:usb2="00000001" w:usb3="00000000" w:csb0="0000019F" w:csb1="00000000"/>
    <w:embedRegular r:id="rId4" w:fontKey="{53C120B9-28FD-470C-803C-0E71B2200420}"/>
  </w:font>
  <w:font w:name="Cambria">
    <w:panose1 w:val="02040503050406030204"/>
    <w:charset w:val="00"/>
    <w:family w:val="roman"/>
    <w:pitch w:val="variable"/>
    <w:sig w:usb0="E00002FF" w:usb1="400004FF" w:usb2="00000000" w:usb3="00000000" w:csb0="0000019F" w:csb1="00000000"/>
    <w:embedRegular r:id="rId5" w:fontKey="{3444495B-2934-4173-BE47-C3358EBBB417}"/>
  </w:font>
  <w:font w:name="Segoe UI">
    <w:panose1 w:val="020B0502040204020203"/>
    <w:charset w:val="00"/>
    <w:family w:val="swiss"/>
    <w:pitch w:val="variable"/>
    <w:sig w:usb0="E10022FF" w:usb1="C000E47F" w:usb2="00000029" w:usb3="00000000" w:csb0="000001DF" w:csb1="00000000"/>
    <w:embedRegular r:id="rId6" w:fontKey="{9044507C-F214-45DD-8911-11B22DE0D7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A3" w:rsidRPr="00A1343F" w:rsidRDefault="00D454A3" w:rsidP="00A1343F">
    <w:pPr>
      <w:pStyle w:val="Footer"/>
      <w:tabs>
        <w:tab w:val="clear" w:pos="4680"/>
        <w:tab w:val="clear" w:pos="9360"/>
        <w:tab w:val="center" w:pos="2995"/>
      </w:tabs>
      <w:spacing w:before="120"/>
    </w:pPr>
    <w:r>
      <w:t>[3726-</w:t>
    </w:r>
    <w:r>
      <w:fldChar w:fldCharType="begin"/>
    </w:r>
    <w:r>
      <w:instrText xml:space="preserve"> PAGE  \* MERGEFORMAT </w:instrText>
    </w:r>
    <w:r>
      <w:fldChar w:fldCharType="separate"/>
    </w:r>
    <w:r w:rsidR="00AD016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A3" w:rsidRPr="00A1343F" w:rsidRDefault="00D454A3"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AD01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4A3" w:rsidRDefault="00D454A3" w:rsidP="009F0C77">
      <w:r>
        <w:separator/>
      </w:r>
    </w:p>
  </w:footnote>
  <w:footnote w:type="continuationSeparator" w:id="0">
    <w:p w:rsidR="00D454A3" w:rsidRDefault="00D45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66F70"/>
    <w:rsid w:val="000E0100"/>
    <w:rsid w:val="000E1785"/>
    <w:rsid w:val="000F40FA"/>
    <w:rsid w:val="001035F1"/>
    <w:rsid w:val="0010776B"/>
    <w:rsid w:val="001117ED"/>
    <w:rsid w:val="00123826"/>
    <w:rsid w:val="00133E66"/>
    <w:rsid w:val="001435A3"/>
    <w:rsid w:val="00146ED3"/>
    <w:rsid w:val="00151044"/>
    <w:rsid w:val="001A49CC"/>
    <w:rsid w:val="001D08F2"/>
    <w:rsid w:val="001D3A58"/>
    <w:rsid w:val="001D525B"/>
    <w:rsid w:val="001D7F4F"/>
    <w:rsid w:val="002049FF"/>
    <w:rsid w:val="00205238"/>
    <w:rsid w:val="002321B6"/>
    <w:rsid w:val="0024296F"/>
    <w:rsid w:val="00250967"/>
    <w:rsid w:val="002543C8"/>
    <w:rsid w:val="0025541D"/>
    <w:rsid w:val="00284AAE"/>
    <w:rsid w:val="002C3D18"/>
    <w:rsid w:val="002E30AA"/>
    <w:rsid w:val="002E5912"/>
    <w:rsid w:val="00301B21"/>
    <w:rsid w:val="00325348"/>
    <w:rsid w:val="0032732C"/>
    <w:rsid w:val="00336AD0"/>
    <w:rsid w:val="0037079A"/>
    <w:rsid w:val="003A0F70"/>
    <w:rsid w:val="003C4DAB"/>
    <w:rsid w:val="003D01E8"/>
    <w:rsid w:val="003D489D"/>
    <w:rsid w:val="003E5288"/>
    <w:rsid w:val="003F6D79"/>
    <w:rsid w:val="0041760A"/>
    <w:rsid w:val="00417C01"/>
    <w:rsid w:val="004403BD"/>
    <w:rsid w:val="00453BB5"/>
    <w:rsid w:val="00461441"/>
    <w:rsid w:val="004809EE"/>
    <w:rsid w:val="00480B6E"/>
    <w:rsid w:val="004968FE"/>
    <w:rsid w:val="004E7D54"/>
    <w:rsid w:val="005273C6"/>
    <w:rsid w:val="00530A69"/>
    <w:rsid w:val="00540F74"/>
    <w:rsid w:val="00541565"/>
    <w:rsid w:val="00545593"/>
    <w:rsid w:val="00556EBF"/>
    <w:rsid w:val="00577C6C"/>
    <w:rsid w:val="005921B9"/>
    <w:rsid w:val="005A62FE"/>
    <w:rsid w:val="005C2FE2"/>
    <w:rsid w:val="005E2BC9"/>
    <w:rsid w:val="00605102"/>
    <w:rsid w:val="006111C3"/>
    <w:rsid w:val="006215AA"/>
    <w:rsid w:val="006758DE"/>
    <w:rsid w:val="006913C9"/>
    <w:rsid w:val="0069470D"/>
    <w:rsid w:val="006B4085"/>
    <w:rsid w:val="006D58AA"/>
    <w:rsid w:val="006F67E4"/>
    <w:rsid w:val="00734F00"/>
    <w:rsid w:val="007A70AE"/>
    <w:rsid w:val="00801DFE"/>
    <w:rsid w:val="00824B35"/>
    <w:rsid w:val="008362E8"/>
    <w:rsid w:val="00836873"/>
    <w:rsid w:val="0085786E"/>
    <w:rsid w:val="00887DCB"/>
    <w:rsid w:val="008A1768"/>
    <w:rsid w:val="008A489F"/>
    <w:rsid w:val="008B35A0"/>
    <w:rsid w:val="008B5AED"/>
    <w:rsid w:val="008F0F33"/>
    <w:rsid w:val="008F4429"/>
    <w:rsid w:val="0094021A"/>
    <w:rsid w:val="009710BD"/>
    <w:rsid w:val="00972878"/>
    <w:rsid w:val="00993863"/>
    <w:rsid w:val="009B44AF"/>
    <w:rsid w:val="009C6A0B"/>
    <w:rsid w:val="009F0C77"/>
    <w:rsid w:val="009F4DD1"/>
    <w:rsid w:val="00A02543"/>
    <w:rsid w:val="00A1343F"/>
    <w:rsid w:val="00A41684"/>
    <w:rsid w:val="00A64E80"/>
    <w:rsid w:val="00A72BCD"/>
    <w:rsid w:val="00A741D9"/>
    <w:rsid w:val="00A833AB"/>
    <w:rsid w:val="00A951C1"/>
    <w:rsid w:val="00A9741D"/>
    <w:rsid w:val="00AC34A2"/>
    <w:rsid w:val="00AD0167"/>
    <w:rsid w:val="00AD1C9A"/>
    <w:rsid w:val="00AD4B17"/>
    <w:rsid w:val="00B30C4A"/>
    <w:rsid w:val="00B412D4"/>
    <w:rsid w:val="00B65065"/>
    <w:rsid w:val="00B71F12"/>
    <w:rsid w:val="00BE3C22"/>
    <w:rsid w:val="00C0345E"/>
    <w:rsid w:val="00C12916"/>
    <w:rsid w:val="00C26F18"/>
    <w:rsid w:val="00C31C95"/>
    <w:rsid w:val="00C3483A"/>
    <w:rsid w:val="00C74E9D"/>
    <w:rsid w:val="00C826DD"/>
    <w:rsid w:val="00C82FD3"/>
    <w:rsid w:val="00C92819"/>
    <w:rsid w:val="00CC6B7B"/>
    <w:rsid w:val="00CD2089"/>
    <w:rsid w:val="00D454A3"/>
    <w:rsid w:val="00D73A67"/>
    <w:rsid w:val="00D970A9"/>
    <w:rsid w:val="00DB06E1"/>
    <w:rsid w:val="00DF3845"/>
    <w:rsid w:val="00E302CD"/>
    <w:rsid w:val="00E416ED"/>
    <w:rsid w:val="00E41911"/>
    <w:rsid w:val="00E44B57"/>
    <w:rsid w:val="00E65F6E"/>
    <w:rsid w:val="00E66338"/>
    <w:rsid w:val="00E83850"/>
    <w:rsid w:val="00E92EEF"/>
    <w:rsid w:val="00E9354B"/>
    <w:rsid w:val="00EF2368"/>
    <w:rsid w:val="00F11AB0"/>
    <w:rsid w:val="00F24442"/>
    <w:rsid w:val="00F3567B"/>
    <w:rsid w:val="00F50AE3"/>
    <w:rsid w:val="00F655B7"/>
    <w:rsid w:val="00F656BA"/>
    <w:rsid w:val="00F663E9"/>
    <w:rsid w:val="00F67CF1"/>
    <w:rsid w:val="00F728AA"/>
    <w:rsid w:val="00F840F0"/>
    <w:rsid w:val="00FB0D0D"/>
    <w:rsid w:val="00FB19B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4B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824B35"/>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rsid w:val="004968FE"/>
    <w:rPr>
      <w:rFonts w:ascii="Segoe UI" w:eastAsia="Times New Roman" w:hAnsi="Segoe UI" w:cs="Segoe UI"/>
      <w:sz w:val="18"/>
      <w:szCs w:val="18"/>
    </w:rPr>
  </w:style>
  <w:style w:type="paragraph" w:styleId="NoSpacing">
    <w:name w:val="No Spacing"/>
    <w:uiPriority w:val="1"/>
    <w:qFormat/>
    <w:rsid w:val="00824B35"/>
    <w:pPr>
      <w:spacing w:after="0" w:line="240" w:lineRule="auto"/>
    </w:pPr>
    <w:rPr>
      <w:sz w:val="24"/>
    </w:rPr>
  </w:style>
  <w:style w:type="character" w:customStyle="1" w:styleId="PlainTextChar">
    <w:name w:val="Plain Text Char"/>
    <w:basedOn w:val="DefaultParagraphFont"/>
    <w:link w:val="PlainText"/>
    <w:uiPriority w:val="99"/>
    <w:rsid w:val="00453BB5"/>
    <w:rPr>
      <w:szCs w:val="21"/>
    </w:rPr>
  </w:style>
  <w:style w:type="paragraph" w:styleId="PlainText">
    <w:name w:val="Plain Text"/>
    <w:basedOn w:val="Normal"/>
    <w:link w:val="PlainTextChar"/>
    <w:uiPriority w:val="99"/>
    <w:unhideWhenUsed/>
    <w:rsid w:val="00453BB5"/>
    <w:rPr>
      <w:rFonts w:eastAsiaTheme="minorHAnsi" w:cstheme="minorBidi"/>
      <w:szCs w:val="21"/>
    </w:rPr>
  </w:style>
  <w:style w:type="character" w:customStyle="1" w:styleId="BodyTextChar">
    <w:name w:val="Body Text Char"/>
    <w:basedOn w:val="DefaultParagraphFont"/>
    <w:link w:val="BodyText"/>
    <w:uiPriority w:val="99"/>
    <w:rsid w:val="00453BB5"/>
  </w:style>
  <w:style w:type="paragraph" w:styleId="BodyText">
    <w:name w:val="Body Text"/>
    <w:basedOn w:val="Normal"/>
    <w:link w:val="BodyTextChar"/>
    <w:uiPriority w:val="99"/>
    <w:rsid w:val="00453BB5"/>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44659-5396-47A2-A2C7-E59DEAA1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60122DFC.dotm</Template>
  <TotalTime>0</TotalTime>
  <Pages>25</Pages>
  <Words>8179</Words>
  <Characters>43601</Characters>
  <Application>Microsoft Office Word</Application>
  <DocSecurity>0</DocSecurity>
  <Lines>1023</Lines>
  <Paragraphs>242</Paragraphs>
  <ScaleCrop>false</ScaleCrop>
  <HeadingPairs>
    <vt:vector size="2" baseType="variant">
      <vt:variant>
        <vt:lpstr>Title</vt:lpstr>
      </vt:variant>
      <vt:variant>
        <vt:i4>1</vt:i4>
      </vt:variant>
    </vt:vector>
  </HeadingPairs>
  <TitlesOfParts>
    <vt:vector size="1" baseType="lpstr">
      <vt:lpstr>2017-2018 Bill 3726: Subject not yet available - South Carolina Legislature Online</vt:lpstr>
    </vt:vector>
  </TitlesOfParts>
  <Company>LPITS</Company>
  <LinksUpToDate>false</LinksUpToDate>
  <CharactersWithSpaces>52322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(Mar. 10, 2017) - South Carolina Legislature Online</dc:title>
  <dc:creator>sharonpair</dc:creator>
  <cp:lastModifiedBy>Lavarres Lynch</cp:lastModifiedBy>
  <cp:revision>2</cp:revision>
  <cp:lastPrinted>2017-03-08T20:40:00Z</cp:lastPrinted>
  <dcterms:created xsi:type="dcterms:W3CDTF">2017-03-10T19:12:00Z</dcterms:created>
  <dcterms:modified xsi:type="dcterms:W3CDTF">2017-03-10T19:12:00Z</dcterms:modified>
</cp:coreProperties>
</file>