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A13" w:rsidRDefault="00C21380"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21380" w:rsidRDefault="00C21380"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2017</w:t>
      </w:r>
    </w:p>
    <w:p w:rsidR="00C21380" w:rsidRDefault="00C21380"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380" w:rsidRPr="00C21380" w:rsidRDefault="00C21380" w:rsidP="00C21380">
      <w:pPr>
        <w:tabs>
          <w:tab w:val="right" w:pos="5933"/>
        </w:tabs>
        <w:suppressAutoHyphens/>
      </w:pPr>
      <w:r>
        <w:tab/>
      </w:r>
      <w:r>
        <w:rPr>
          <w:b/>
          <w:sz w:val="36"/>
        </w:rPr>
        <w:t>H. 3824</w:t>
      </w:r>
    </w:p>
    <w:p w:rsidR="00C21380" w:rsidRDefault="00C21380"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380" w:rsidRDefault="00C21380" w:rsidP="00C2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C21380" w:rsidRDefault="00C21380"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380" w:rsidRDefault="00C21380"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4/4/17--H.</w:t>
      </w:r>
    </w:p>
    <w:p w:rsidR="00C21380" w:rsidRDefault="00C21380"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C21380" w:rsidRPr="00C21380" w:rsidRDefault="00C21380" w:rsidP="00C2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1380" w:rsidRDefault="00C21380"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380" w:rsidRDefault="00C21380"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1380"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C91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End w:id="1"/>
    </w:p>
    <w:p w:rsidR="0010776B" w:rsidRDefault="00A4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417A6" w:rsidRDefault="00A4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0758">
        <w:rPr>
          <w:u w:color="000000" w:themeColor="text1"/>
        </w:rPr>
        <w:t>(3)</w:t>
      </w:r>
      <w:r w:rsidR="003A0758">
        <w:rPr>
          <w:u w:color="000000" w:themeColor="text1"/>
        </w:rPr>
        <w:tab/>
        <w:t xml:space="preserve">a </w:t>
      </w:r>
      <w:r w:rsidR="003A0758" w:rsidRPr="007061DD">
        <w:rPr>
          <w:u w:color="000000" w:themeColor="text1"/>
        </w:rPr>
        <w:t>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licensed healthcare provider;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in which medications are provided and monitored by staff; or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who is temporarily unable to access the prescription monitoring program due to exigent circumstances; however,</w:t>
      </w:r>
      <w:r>
        <w:rPr>
          <w:color w:val="000000" w:themeColor="text1"/>
          <w:u w:color="000000" w:themeColor="text1"/>
        </w:rPr>
        <w:t xml:space="preserve"> </w:t>
      </w:r>
      <w:r w:rsidRPr="00A040CF">
        <w:rPr>
          <w:color w:val="000000" w:themeColor="text1"/>
          <w:u w:color="000000" w:themeColor="text1"/>
        </w:rPr>
        <w:t xml:space="preserve">the exigent circumstances and the potential adverse impact </w:t>
      </w:r>
      <w:r w:rsidRPr="00A040CF">
        <w:rPr>
          <w:color w:val="000000" w:themeColor="text1"/>
          <w:u w:color="000000" w:themeColor="text1"/>
        </w:rPr>
        <w:lastRenderedPageBreak/>
        <w:t>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FF5BDB">
        <w:noBreakHyphen/>
      </w:r>
      <w:r>
        <w:t>53</w:t>
      </w:r>
      <w:r w:rsidR="00FF5BDB">
        <w:noBreakHyphen/>
      </w:r>
      <w:r>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(1)</w:t>
      </w:r>
      <w:r>
        <w:rPr>
          <w:szCs w:val="24"/>
        </w:rPr>
        <w:tab/>
      </w:r>
      <w:r w:rsidR="00FF5BDB" w:rsidRPr="00FF5BDB">
        <w:rPr>
          <w:szCs w:val="24"/>
        </w:rPr>
        <w:t>‘</w:t>
      </w:r>
      <w:r w:rsidRPr="00A26942">
        <w:rPr>
          <w:szCs w:val="24"/>
        </w:rPr>
        <w:t>Controlled substances</w:t>
      </w:r>
      <w:r w:rsidR="00FF5BDB" w:rsidRPr="00FF5BDB">
        <w:rPr>
          <w:szCs w:val="24"/>
        </w:rPr>
        <w:t>’</w:t>
      </w:r>
      <w:r w:rsidRPr="00A26942">
        <w:rPr>
          <w:szCs w:val="24"/>
        </w:rPr>
        <w:t xml:space="preserve"> means those substances listed in Schedules II, III, and IV of the schedules provided for in Sections 44</w:t>
      </w:r>
      <w:r w:rsidR="00FF5BDB">
        <w:rPr>
          <w:szCs w:val="24"/>
        </w:rPr>
        <w:noBreakHyphen/>
      </w:r>
      <w:r w:rsidRPr="00A26942">
        <w:rPr>
          <w:szCs w:val="24"/>
        </w:rPr>
        <w:t>53</w:t>
      </w:r>
      <w:r w:rsidR="00FF5BDB">
        <w:rPr>
          <w:szCs w:val="24"/>
        </w:rPr>
        <w:noBreakHyphen/>
      </w:r>
      <w:r w:rsidRPr="00A26942">
        <w:rPr>
          <w:szCs w:val="24"/>
        </w:rPr>
        <w:t>210, 44</w:t>
      </w:r>
      <w:r w:rsidR="00FF5BDB">
        <w:rPr>
          <w:szCs w:val="24"/>
        </w:rPr>
        <w:noBreakHyphen/>
      </w:r>
      <w:r w:rsidRPr="00A26942">
        <w:rPr>
          <w:szCs w:val="24"/>
        </w:rPr>
        <w:t>53</w:t>
      </w:r>
      <w:r w:rsidR="00FF5BDB">
        <w:rPr>
          <w:szCs w:val="24"/>
        </w:rPr>
        <w:noBreakHyphen/>
      </w:r>
      <w:r w:rsidRPr="00A26942">
        <w:rPr>
          <w:szCs w:val="24"/>
        </w:rPr>
        <w:t>230, 44</w:t>
      </w:r>
      <w:r w:rsidR="00FF5BDB">
        <w:rPr>
          <w:szCs w:val="24"/>
        </w:rPr>
        <w:noBreakHyphen/>
      </w:r>
      <w:r w:rsidRPr="00A26942">
        <w:rPr>
          <w:szCs w:val="24"/>
        </w:rPr>
        <w:t>53</w:t>
      </w:r>
      <w:r w:rsidR="00FF5BDB">
        <w:rPr>
          <w:szCs w:val="24"/>
        </w:rPr>
        <w:noBreakHyphen/>
      </w:r>
      <w:r w:rsidRPr="00A26942">
        <w:rPr>
          <w:szCs w:val="24"/>
        </w:rPr>
        <w:t>250, and 44</w:t>
      </w:r>
      <w:r w:rsidR="00FF5BDB">
        <w:rPr>
          <w:szCs w:val="24"/>
        </w:rPr>
        <w:noBreakHyphen/>
      </w:r>
      <w:r w:rsidRPr="00A26942">
        <w:rPr>
          <w:szCs w:val="24"/>
        </w:rPr>
        <w:t>53</w:t>
      </w:r>
      <w:r w:rsidR="00FF5BDB">
        <w:rPr>
          <w:szCs w:val="24"/>
        </w:rPr>
        <w:noBreakHyphen/>
      </w:r>
      <w:r w:rsidRPr="00A26942">
        <w:rPr>
          <w:szCs w:val="24"/>
        </w:rPr>
        <w:t>270.</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(2)</w:t>
      </w:r>
      <w:r>
        <w:rPr>
          <w:szCs w:val="24"/>
        </w:rPr>
        <w:tab/>
      </w:r>
      <w:r w:rsidR="00FF5BDB" w:rsidRPr="00FF5BDB">
        <w:rPr>
          <w:szCs w:val="24"/>
        </w:rPr>
        <w:t>‘</w:t>
      </w:r>
      <w:r w:rsidRPr="00A26942">
        <w:rPr>
          <w:szCs w:val="24"/>
        </w:rPr>
        <w:t>Dispenser</w:t>
      </w:r>
      <w:r w:rsidR="00FF5BDB" w:rsidRPr="00FF5BDB">
        <w:rPr>
          <w:szCs w:val="24"/>
        </w:rPr>
        <w:t>’</w:t>
      </w:r>
      <w:r w:rsidRPr="00A26942">
        <w:rPr>
          <w:szCs w:val="24"/>
        </w:rPr>
        <w:t xml:space="preserve"> means a person who delivers a Schedule II</w:t>
      </w:r>
      <w:r w:rsidR="00FF5BDB">
        <w:rPr>
          <w:szCs w:val="24"/>
        </w:rPr>
        <w:noBreakHyphen/>
      </w:r>
      <w:r w:rsidRPr="00A26942">
        <w:rPr>
          <w:szCs w:val="24"/>
        </w:rPr>
        <w:t>IV controlled substance to the ultimate user, but does not include: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sidR="00FF5BDB">
        <w:rPr>
          <w:szCs w:val="24"/>
        </w:rPr>
        <w:noBreakHyphen/>
      </w:r>
      <w:r w:rsidRPr="00A26942">
        <w:rPr>
          <w:szCs w:val="24"/>
        </w:rPr>
        <w:t>IV controlled substance.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(3)</w:t>
      </w:r>
      <w:r>
        <w:rPr>
          <w:szCs w:val="24"/>
        </w:rPr>
        <w:tab/>
      </w:r>
      <w:r w:rsidR="00FF5BDB" w:rsidRPr="00FF5BDB">
        <w:rPr>
          <w:szCs w:val="24"/>
        </w:rPr>
        <w:t>‘</w:t>
      </w:r>
      <w:r w:rsidRPr="00A26942">
        <w:rPr>
          <w:szCs w:val="24"/>
        </w:rPr>
        <w:t>Drug control</w:t>
      </w:r>
      <w:r w:rsidR="00FF5BDB" w:rsidRPr="00FF5BDB">
        <w:rPr>
          <w:szCs w:val="24"/>
        </w:rPr>
        <w:t>’</w:t>
      </w:r>
      <w:r w:rsidRPr="00A26942">
        <w:rPr>
          <w:szCs w:val="24"/>
        </w:rPr>
        <w:t xml:space="preserve"> means the Department of Health and Environmental Control, Bureau of Drug Control.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(4)</w:t>
      </w:r>
      <w:r>
        <w:rPr>
          <w:szCs w:val="24"/>
        </w:rPr>
        <w:tab/>
      </w:r>
      <w:r w:rsidR="00FF5BDB" w:rsidRPr="00FF5BDB">
        <w:rPr>
          <w:szCs w:val="24"/>
        </w:rPr>
        <w:t>‘</w:t>
      </w:r>
      <w:r w:rsidRPr="00A26942">
        <w:rPr>
          <w:szCs w:val="24"/>
        </w:rPr>
        <w:t>Patient</w:t>
      </w:r>
      <w:r w:rsidR="00FF5BDB"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(5)</w:t>
      </w:r>
      <w:r>
        <w:rPr>
          <w:szCs w:val="24"/>
        </w:rPr>
        <w:tab/>
      </w:r>
      <w:r w:rsidR="00FF5BDB" w:rsidRPr="00FF5BDB">
        <w:rPr>
          <w:szCs w:val="24"/>
        </w:rPr>
        <w:t>‘</w:t>
      </w:r>
      <w:r w:rsidRPr="00A26942">
        <w:rPr>
          <w:szCs w:val="24"/>
        </w:rPr>
        <w:t>Authorized delegate</w:t>
      </w:r>
      <w:r w:rsidR="00FF5BDB"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A26942" w:rsidRPr="00C61006"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C61006">
        <w:rPr>
          <w:szCs w:val="24"/>
          <w:u w:val="single"/>
        </w:rPr>
        <w:t>(6)</w:t>
      </w:r>
      <w:r w:rsidR="00C26759" w:rsidRPr="00C26759">
        <w:rPr>
          <w:szCs w:val="24"/>
        </w:rPr>
        <w:tab/>
      </w:r>
      <w:r w:rsidR="00FF5BDB" w:rsidRPr="00FF5BDB">
        <w:rPr>
          <w:szCs w:val="24"/>
          <w:u w:val="single"/>
        </w:rPr>
        <w:t>‘</w:t>
      </w:r>
      <w:r w:rsidR="00C61006">
        <w:rPr>
          <w:szCs w:val="24"/>
          <w:u w:val="single"/>
        </w:rPr>
        <w:t>Practitioner</w:t>
      </w:r>
      <w:r w:rsidR="00FF5BDB" w:rsidRPr="00FF5BDB">
        <w:rPr>
          <w:szCs w:val="24"/>
          <w:u w:val="single"/>
        </w:rPr>
        <w:t>’</w:t>
      </w:r>
      <w:r w:rsidR="00C61006">
        <w:rPr>
          <w:szCs w:val="24"/>
          <w:u w:val="single"/>
        </w:rPr>
        <w:t xml:space="preserve"> means an individual authorized pursuant to sta</w:t>
      </w:r>
      <w:r w:rsidR="00570E9B">
        <w:rPr>
          <w:szCs w:val="24"/>
          <w:u w:val="single"/>
        </w:rPr>
        <w:t>t</w:t>
      </w:r>
      <w:r w:rsidR="00C61006">
        <w:rPr>
          <w:szCs w:val="24"/>
          <w:u w:val="single"/>
        </w:rPr>
        <w:t>e and federal law to prescribe controlled substances.</w:t>
      </w:r>
      <w:r w:rsidR="00932AAB">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w:t>
      </w:r>
      <w:r w:rsidRPr="0060401E">
        <w:rPr>
          <w:color w:val="000000" w:themeColor="text1"/>
          <w:u w:color="000000" w:themeColor="text1"/>
        </w:rPr>
        <w:lastRenderedPageBreak/>
        <w:t>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3352" w:rsidRPr="00A040CF">
        <w:rPr>
          <w:color w:val="000000" w:themeColor="text1"/>
          <w:u w:color="000000" w:themeColor="text1"/>
        </w:rPr>
        <w:t>“Section 40</w:t>
      </w:r>
      <w:r w:rsidR="00FF5BDB">
        <w:rPr>
          <w:color w:val="000000" w:themeColor="text1"/>
          <w:u w:color="000000" w:themeColor="text1"/>
        </w:rPr>
        <w:noBreakHyphen/>
      </w:r>
      <w:r w:rsidR="004A3352" w:rsidRPr="00A040CF">
        <w:rPr>
          <w:color w:val="000000" w:themeColor="text1"/>
          <w:u w:color="000000" w:themeColor="text1"/>
        </w:rPr>
        <w:t>15</w:t>
      </w:r>
      <w:r w:rsidR="00FF5BDB">
        <w:rPr>
          <w:color w:val="000000" w:themeColor="text1"/>
          <w:u w:color="000000" w:themeColor="text1"/>
        </w:rPr>
        <w:noBreakHyphen/>
      </w:r>
      <w:r w:rsidR="004A3352" w:rsidRPr="00A040CF">
        <w:rPr>
          <w:color w:val="000000" w:themeColor="text1"/>
          <w:u w:color="000000" w:themeColor="text1"/>
        </w:rPr>
        <w:t>145.</w:t>
      </w:r>
      <w:r w:rsidR="004A3352">
        <w:rPr>
          <w:color w:val="000000" w:themeColor="text1"/>
          <w:u w:color="000000" w:themeColor="text1"/>
        </w:rPr>
        <w:tab/>
      </w:r>
      <w:r w:rsidR="004A3352" w:rsidRPr="00A040CF">
        <w:rPr>
          <w:color w:val="000000" w:themeColor="text1"/>
          <w:u w:color="000000" w:themeColor="text1"/>
        </w:rPr>
        <w:t>In addition to any other continuing education required by the board or pursuant to law, including Regulation 39</w:t>
      </w:r>
      <w:r w:rsidR="00FF5BDB">
        <w:rPr>
          <w:color w:val="000000" w:themeColor="text1"/>
          <w:u w:color="000000" w:themeColor="text1"/>
        </w:rPr>
        <w:noBreakHyphen/>
      </w:r>
      <w:r w:rsidR="004A3352"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210, 44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230, and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lastRenderedPageBreak/>
        <w:tab/>
      </w:r>
      <w:r w:rsidRPr="0060401E">
        <w:rPr>
          <w:color w:val="000000" w:themeColor="text1"/>
          <w:u w:color="000000" w:themeColor="text1"/>
        </w:rPr>
        <w:tab/>
        <w:t>“(3)</w:t>
      </w:r>
      <w:r w:rsidRPr="0060401E">
        <w:rPr>
          <w:color w:val="000000" w:themeColor="text1"/>
          <w:u w:color="000000" w:themeColor="text1"/>
        </w:rPr>
        <w:tab/>
        <w:t xml:space="preserve">every two years, the physician assistant shall provide documentation of four continuing education contact hours in prescribing controlled substances acceptable to the </w:t>
      </w:r>
      <w:r w:rsidRPr="00533D06">
        <w:rPr>
          <w:color w:val="000000" w:themeColor="text1"/>
          <w:u w:color="000000" w:themeColor="text1"/>
        </w:rPr>
        <w:t>board</w:t>
      </w:r>
      <w:r w:rsidRPr="00533D06">
        <w:rPr>
          <w:color w:val="000000" w:themeColor="text1"/>
          <w:u w:val="single" w:color="000000" w:themeColor="text1"/>
        </w:rPr>
        <w:t>. If a physician assistant is authorized pursuant to state and federal law to prescribe controlled substances, two of the requisite hours of continuing education must be related to approved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210, 44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230, and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250</w:t>
      </w:r>
      <w:r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sidR="00FF5BDB">
        <w:rPr>
          <w:color w:val="000000" w:themeColor="text1"/>
          <w:u w:color="000000" w:themeColor="text1"/>
        </w:rPr>
        <w:noBreakHyphen/>
      </w:r>
      <w:r w:rsidRPr="00533D06">
        <w:rPr>
          <w:color w:val="000000" w:themeColor="text1"/>
          <w:u w:color="000000" w:themeColor="text1"/>
        </w:rPr>
        <w:t>51</w:t>
      </w:r>
      <w:r w:rsidR="00FF5BDB">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an annual renewal license fee which must be established in regulation by the board, annually must complete twelve 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If a podiatrist is authorized pursuant to state and federal law to prescribe controlled substances, two of the requisite hours of continuing education every two years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This continuing education requirement takes effect and applies to licenses being renewed beginning in 1997. If the renewal fee is not paid within two months after the date of notification by the secretary 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00FF5BDB" w:rsidRPr="00FF5BDB">
        <w:rPr>
          <w:color w:val="000000" w:themeColor="text1"/>
          <w:u w:color="000000" w:themeColor="text1"/>
        </w:rPr>
        <w:t>’</w:t>
      </w:r>
      <w:r w:rsidRPr="0060401E">
        <w:rPr>
          <w:color w:val="000000" w:themeColor="text1"/>
          <w:u w:color="000000" w:themeColor="text1"/>
        </w:rPr>
        <w:t xml:space="preserve">s) of </w:t>
      </w:r>
      <w:r w:rsidRPr="0060401E">
        <w:rPr>
          <w:color w:val="000000" w:themeColor="text1"/>
          <w:u w:color="000000" w:themeColor="text1"/>
        </w:rPr>
        <w:lastRenderedPageBreak/>
        <w:t>American Council on Pharmaceutical Education (ACPE) accredited continuing pharmacy education or continuing medical education (CME), Category I, or both, each license year. Of the fifteen hours, a minimum of six hours must be obtained through attendance at lectures, seminars, or workshops. At least fifty percent of the total number of hours required must be in drug therapy or patient management.</w:t>
      </w:r>
      <w:r>
        <w:rPr>
          <w:color w:val="000000" w:themeColor="text1"/>
          <w:u w:color="000000" w:themeColor="text1"/>
        </w:rPr>
        <w:t xml:space="preserve"> </w:t>
      </w:r>
      <w:r w:rsidRPr="00A040CF">
        <w:rPr>
          <w:color w:val="000000" w:themeColor="text1"/>
          <w:u w:val="single" w:color="000000" w:themeColor="text1"/>
        </w:rPr>
        <w:t>Every two years, at least two hours of the required continuing education must be related to controlled substances listed in Schedules II, III and IV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C0475C"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79AB" w:rsidRDefault="007079AB" w:rsidP="007079AB">
      <w:pPr>
        <w:suppressAutoHyphens/>
      </w:pPr>
    </w:p>
    <w:sectPr w:rsidR="007079AB"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0DD226-1530-4689-9D62-D651FF471C5C}"/>
    <w:embedBold r:id="rId2" w:fontKey="{113C5223-C5FC-4786-8F60-DEB1E68FD4DD}"/>
  </w:font>
  <w:font w:name="Calibri">
    <w:panose1 w:val="020F0502020204030204"/>
    <w:charset w:val="00"/>
    <w:family w:val="swiss"/>
    <w:pitch w:val="variable"/>
    <w:sig w:usb0="E00002FF" w:usb1="4000ACFF" w:usb2="00000001" w:usb3="00000000" w:csb0="0000019F" w:csb1="00000000"/>
    <w:embedRegular r:id="rId3" w:fontKey="{CB6C5B57-38FC-48C9-B9A7-E82531EEEBBE}"/>
  </w:font>
  <w:font w:name="Cambria">
    <w:panose1 w:val="02040503050406030204"/>
    <w:charset w:val="00"/>
    <w:family w:val="roman"/>
    <w:pitch w:val="variable"/>
    <w:sig w:usb0="E00002FF" w:usb1="400004FF" w:usb2="00000000" w:usb3="00000000" w:csb0="0000019F" w:csb1="00000000"/>
    <w:embedRegular r:id="rId4" w:fontKey="{407B4D5F-1D26-4041-A0E6-E69C05854418}"/>
  </w:font>
  <w:font w:name="Segoe UI">
    <w:panose1 w:val="020B0502040204020203"/>
    <w:charset w:val="00"/>
    <w:family w:val="swiss"/>
    <w:pitch w:val="variable"/>
    <w:sig w:usb0="E10022FF" w:usb1="C000E47F" w:usb2="00000029" w:usb3="00000000" w:csb0="000001DF" w:csb1="00000000"/>
    <w:embedRegular r:id="rId5" w:fontKey="{683F960A-8032-4147-A13A-A184022327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7079AB">
      <w:rPr>
        <w:noProof/>
      </w:rPr>
      <w:t>1</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7079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A2121"/>
    <w:rsid w:val="000D283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7079A"/>
    <w:rsid w:val="0039476C"/>
    <w:rsid w:val="003A0758"/>
    <w:rsid w:val="003A2D10"/>
    <w:rsid w:val="003C4DAB"/>
    <w:rsid w:val="003D01E8"/>
    <w:rsid w:val="003E5288"/>
    <w:rsid w:val="003F567C"/>
    <w:rsid w:val="003F5AFA"/>
    <w:rsid w:val="003F6D79"/>
    <w:rsid w:val="00403345"/>
    <w:rsid w:val="00413395"/>
    <w:rsid w:val="00415E96"/>
    <w:rsid w:val="0041760A"/>
    <w:rsid w:val="00417C01"/>
    <w:rsid w:val="00426E39"/>
    <w:rsid w:val="004403BD"/>
    <w:rsid w:val="00461441"/>
    <w:rsid w:val="0047032F"/>
    <w:rsid w:val="004809EE"/>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7079AB"/>
    <w:rsid w:val="0071319E"/>
    <w:rsid w:val="00715D95"/>
    <w:rsid w:val="0073459E"/>
    <w:rsid w:val="00734F00"/>
    <w:rsid w:val="00736418"/>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417A6"/>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E3C22"/>
    <w:rsid w:val="00BE6AF4"/>
    <w:rsid w:val="00C0345E"/>
    <w:rsid w:val="00C0475C"/>
    <w:rsid w:val="00C21380"/>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9FE"/>
    <w:rsid w:val="00F94C9A"/>
    <w:rsid w:val="00FA2E65"/>
    <w:rsid w:val="00FB0D0D"/>
    <w:rsid w:val="00FB43B4"/>
    <w:rsid w:val="00FB6B0B"/>
    <w:rsid w:val="00FC51A3"/>
    <w:rsid w:val="00FC54F3"/>
    <w:rsid w:val="00FD2B96"/>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4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0BE98-E022-44FD-BB02-543EA9959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8DFF4410.dotm</Template>
  <TotalTime>0</TotalTime>
  <Pages>8</Pages>
  <Words>2064</Words>
  <Characters>11712</Characters>
  <Application>Microsoft Office Word</Application>
  <DocSecurity>0</DocSecurity>
  <Lines>288</Lines>
  <Paragraphs>54</Paragraphs>
  <ScaleCrop>false</ScaleCrop>
  <HeadingPairs>
    <vt:vector size="2" baseType="variant">
      <vt:variant>
        <vt:lpstr>Title</vt:lpstr>
      </vt:variant>
      <vt:variant>
        <vt:i4>1</vt:i4>
      </vt:variant>
    </vt:vector>
  </HeadingPairs>
  <TitlesOfParts>
    <vt:vector size="1" baseType="lpstr">
      <vt:lpstr>2017-2018 Bill 3824: Subject not yet available - South Carolina Legislature Online</vt:lpstr>
    </vt:vector>
  </TitlesOfParts>
  <Company>LPITS</Company>
  <LinksUpToDate>false</LinksUpToDate>
  <CharactersWithSpaces>13777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(Apr. 4, 2017) - South Carolina Legislature Online</dc:title>
  <dc:creator>%USERNAME%</dc:creator>
  <cp:lastModifiedBy>Derrick Williamson</cp:lastModifiedBy>
  <cp:revision>2</cp:revision>
  <cp:lastPrinted>2017-04-05T00:14:00Z</cp:lastPrinted>
  <dcterms:created xsi:type="dcterms:W3CDTF">2017-04-05T00:16:00Z</dcterms:created>
  <dcterms:modified xsi:type="dcterms:W3CDTF">2017-04-05T00:16:00Z</dcterms:modified>
</cp:coreProperties>
</file>