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756A2F" w:rsidP="00063789">
      <w:pPr>
        <w:tabs>
          <w:tab w:val="right" w:pos="5933"/>
        </w:tabs>
        <w:suppressAutoHyphens/>
      </w:pPr>
      <w:r>
        <w:t>AMENDED</w:t>
      </w:r>
    </w:p>
    <w:p w:rsidR="00756A2F" w:rsidRDefault="00756A2F" w:rsidP="00063789">
      <w:pPr>
        <w:tabs>
          <w:tab w:val="right" w:pos="5933"/>
        </w:tabs>
        <w:suppressAutoHyphens/>
      </w:pPr>
      <w:r>
        <w:t xml:space="preserve">May </w:t>
      </w:r>
      <w:r w:rsidR="004F7E6E">
        <w:t>9</w:t>
      </w:r>
      <w:r>
        <w:t>, 2017</w:t>
      </w:r>
    </w:p>
    <w:p w:rsidR="00756A2F" w:rsidRDefault="00756A2F" w:rsidP="00063789">
      <w:pPr>
        <w:tabs>
          <w:tab w:val="right" w:pos="5933"/>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E90BB8">
      <w:pPr>
        <w:tabs>
          <w:tab w:val="right" w:pos="5933"/>
        </w:tabs>
        <w:suppressAutoHyphens/>
      </w:pPr>
      <w:r>
        <w:t xml:space="preserve">S. Printed </w:t>
      </w:r>
      <w:r w:rsidR="006F2A2E">
        <w:t>5/</w:t>
      </w:r>
      <w:r w:rsidR="004F7E6E">
        <w:t>9</w:t>
      </w:r>
      <w:r>
        <w:t>/17--S.</w:t>
      </w:r>
      <w:r w:rsidR="00E90BB8">
        <w:tab/>
        <w:t>[SEC 5/10/17 12:16 PM]</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Default="00063789"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F2A2E"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healthcare provider</w:t>
      </w:r>
      <w:r>
        <w:rPr>
          <w:color w:val="000000" w:themeColor="text1"/>
          <w:u w:color="000000" w:themeColor="text1"/>
        </w:rPr>
        <w:t xml:space="preserve"> licensed in South Carolina</w:t>
      </w:r>
      <w:r w:rsidRPr="00A040CF">
        <w:rPr>
          <w:color w:val="000000" w:themeColor="text1"/>
          <w:u w:color="000000" w:themeColor="text1"/>
        </w:rPr>
        <w:t>;</w:t>
      </w:r>
    </w:p>
    <w:p w:rsidR="00595371" w:rsidRPr="00A040CF"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w:t>
      </w:r>
      <w:r>
        <w:rPr>
          <w:color w:val="000000" w:themeColor="text1"/>
          <w:u w:color="000000" w:themeColor="text1"/>
        </w:rPr>
        <w:t xml:space="preserve">and the patient’s </w:t>
      </w:r>
      <w:r w:rsidRPr="00A040CF">
        <w:rPr>
          <w:color w:val="000000" w:themeColor="text1"/>
          <w:u w:color="000000" w:themeColor="text1"/>
        </w:rPr>
        <w:t xml:space="preserve">medications are </w:t>
      </w:r>
      <w:r>
        <w:rPr>
          <w:color w:val="000000" w:themeColor="text1"/>
          <w:u w:color="000000" w:themeColor="text1"/>
        </w:rPr>
        <w:t>stored, given</w:t>
      </w:r>
      <w:r w:rsidR="004A1CC7">
        <w:rPr>
          <w:color w:val="000000" w:themeColor="text1"/>
          <w:u w:color="000000" w:themeColor="text1"/>
        </w:rPr>
        <w:t>,</w:t>
      </w:r>
      <w:r>
        <w:rPr>
          <w:color w:val="000000" w:themeColor="text1"/>
          <w:u w:color="000000" w:themeColor="text1"/>
        </w:rPr>
        <w:t xml:space="preserve"> </w:t>
      </w:r>
      <w:r w:rsidRPr="00A040CF">
        <w:rPr>
          <w:color w:val="000000" w:themeColor="text1"/>
          <w:u w:color="000000" w:themeColor="text1"/>
        </w:rPr>
        <w:t>and monitored by staff; or</w:t>
      </w:r>
      <w:r>
        <w:rPr>
          <w:color w:val="000000" w:themeColor="text1"/>
          <w:u w:color="000000" w:themeColor="text1"/>
        </w:rPr>
        <w:tab/>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who is temporarily unable to access the prescription monitoring program due to exigent circumstances; </w:t>
      </w:r>
      <w:r w:rsidRPr="00A040CF">
        <w:rPr>
          <w:color w:val="000000" w:themeColor="text1"/>
          <w:u w:color="000000" w:themeColor="text1"/>
        </w:rPr>
        <w:lastRenderedPageBreak/>
        <w:t>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t>“Section 44</w:t>
      </w:r>
      <w:r>
        <w:noBreakHyphen/>
        <w:t>53</w:t>
      </w:r>
      <w:r>
        <w:noBreakHyphen/>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(1)</w:t>
      </w:r>
      <w:r>
        <w:rPr>
          <w:szCs w:val="24"/>
        </w:rPr>
        <w:tab/>
      </w:r>
      <w:r w:rsidRPr="00FF5BDB">
        <w:rPr>
          <w:szCs w:val="24"/>
        </w:rPr>
        <w:t>‘</w:t>
      </w:r>
      <w:r w:rsidRPr="00A26942">
        <w:rPr>
          <w:szCs w:val="24"/>
        </w:rPr>
        <w:t>Authorized delegate</w:t>
      </w:r>
      <w:r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sidRPr="00FF5BDB">
        <w:rPr>
          <w:szCs w:val="24"/>
        </w:rPr>
        <w:t>‘</w:t>
      </w:r>
      <w:r w:rsidRPr="00A26942">
        <w:rPr>
          <w:szCs w:val="24"/>
        </w:rPr>
        <w:t>Controlled substances</w:t>
      </w:r>
      <w:r w:rsidRPr="00FF5BDB">
        <w:rPr>
          <w:szCs w:val="24"/>
        </w:rPr>
        <w:t>’</w:t>
      </w:r>
      <w:r w:rsidRPr="00A26942">
        <w:rPr>
          <w:szCs w:val="24"/>
        </w:rPr>
        <w:t xml:space="preserve"> means those substances listed in Schedules II, III, and IV of the schedules provided for in Sections 44</w:t>
      </w:r>
      <w:r>
        <w:rPr>
          <w:szCs w:val="24"/>
        </w:rPr>
        <w:noBreakHyphen/>
      </w:r>
      <w:r w:rsidRPr="00A26942">
        <w:rPr>
          <w:szCs w:val="24"/>
        </w:rPr>
        <w:t>53</w:t>
      </w:r>
      <w:r>
        <w:rPr>
          <w:szCs w:val="24"/>
        </w:rPr>
        <w:noBreakHyphen/>
      </w:r>
      <w:r w:rsidRPr="00A26942">
        <w:rPr>
          <w:szCs w:val="24"/>
        </w:rPr>
        <w:t>210, 44</w:t>
      </w:r>
      <w:r>
        <w:rPr>
          <w:szCs w:val="24"/>
        </w:rPr>
        <w:noBreakHyphen/>
      </w:r>
      <w:r w:rsidRPr="00A26942">
        <w:rPr>
          <w:szCs w:val="24"/>
        </w:rPr>
        <w:t>53</w:t>
      </w:r>
      <w:r>
        <w:rPr>
          <w:szCs w:val="24"/>
        </w:rPr>
        <w:noBreakHyphen/>
      </w:r>
      <w:r w:rsidRPr="00A26942">
        <w:rPr>
          <w:szCs w:val="24"/>
        </w:rPr>
        <w:t>230, 44</w:t>
      </w:r>
      <w:r>
        <w:rPr>
          <w:szCs w:val="24"/>
        </w:rPr>
        <w:noBreakHyphen/>
      </w:r>
      <w:r w:rsidRPr="00A26942">
        <w:rPr>
          <w:szCs w:val="24"/>
        </w:rPr>
        <w:t>53</w:t>
      </w:r>
      <w:r>
        <w:rPr>
          <w:szCs w:val="24"/>
        </w:rPr>
        <w:noBreakHyphen/>
      </w:r>
      <w:r w:rsidRPr="00A26942">
        <w:rPr>
          <w:szCs w:val="24"/>
        </w:rPr>
        <w:t>250, and 44</w:t>
      </w:r>
      <w:r>
        <w:rPr>
          <w:szCs w:val="24"/>
        </w:rPr>
        <w:noBreakHyphen/>
      </w:r>
      <w:r w:rsidRPr="00A26942">
        <w:rPr>
          <w:szCs w:val="24"/>
        </w:rPr>
        <w:t>53</w:t>
      </w:r>
      <w:r>
        <w:rPr>
          <w:szCs w:val="24"/>
        </w:rPr>
        <w:noBreakHyphen/>
      </w:r>
      <w:r w:rsidRPr="00A26942">
        <w:rPr>
          <w:szCs w:val="24"/>
        </w:rPr>
        <w:t>270.</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(2)</w:t>
      </w:r>
      <w:r>
        <w:rPr>
          <w:szCs w:val="24"/>
          <w:u w:val="single"/>
        </w:rPr>
        <w:t>(3)</w:t>
      </w:r>
      <w:r>
        <w:rPr>
          <w:szCs w:val="24"/>
        </w:rPr>
        <w:tab/>
      </w:r>
      <w:r w:rsidRPr="00FF5BDB">
        <w:rPr>
          <w:szCs w:val="24"/>
        </w:rPr>
        <w:t>‘</w:t>
      </w:r>
      <w:r w:rsidRPr="00A26942">
        <w:rPr>
          <w:szCs w:val="24"/>
        </w:rPr>
        <w:t>Dispenser</w:t>
      </w:r>
      <w:r w:rsidRPr="00FF5BDB">
        <w:rPr>
          <w:szCs w:val="24"/>
        </w:rPr>
        <w:t>’</w:t>
      </w:r>
      <w:r w:rsidRPr="00A26942">
        <w:rPr>
          <w:szCs w:val="24"/>
        </w:rPr>
        <w:t xml:space="preserve"> means a person who delivers a Schedule II</w:t>
      </w:r>
      <w:r>
        <w:rPr>
          <w:szCs w:val="24"/>
        </w:rPr>
        <w:noBreakHyphen/>
      </w:r>
      <w:r w:rsidRPr="00A26942">
        <w:rPr>
          <w:szCs w:val="24"/>
        </w:rPr>
        <w:t>IV controlled substance to the ultimate user, but does not include: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Pr>
          <w:szCs w:val="24"/>
        </w:rPr>
        <w:noBreakHyphen/>
      </w:r>
      <w:r w:rsidRPr="00A26942">
        <w:rPr>
          <w:szCs w:val="24"/>
        </w:rPr>
        <w:t>IV controlled substance.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(3)</w:t>
      </w:r>
      <w:r>
        <w:rPr>
          <w:szCs w:val="24"/>
          <w:u w:val="single"/>
        </w:rPr>
        <w:t>(4)</w:t>
      </w:r>
      <w:r>
        <w:rPr>
          <w:szCs w:val="24"/>
        </w:rPr>
        <w:tab/>
      </w:r>
      <w:r w:rsidRPr="00FF5BDB">
        <w:rPr>
          <w:szCs w:val="24"/>
        </w:rPr>
        <w:t>‘</w:t>
      </w:r>
      <w:r w:rsidRPr="00A26942">
        <w:rPr>
          <w:szCs w:val="24"/>
        </w:rPr>
        <w:t>Drug control</w:t>
      </w:r>
      <w:r w:rsidRPr="00FF5BDB">
        <w:rPr>
          <w:szCs w:val="24"/>
        </w:rPr>
        <w:t>’</w:t>
      </w:r>
      <w:r w:rsidRPr="00A26942">
        <w:rPr>
          <w:szCs w:val="24"/>
        </w:rPr>
        <w:t xml:space="preserve"> means the Department of Health and Environmental Control, Bureau of Drug Control.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(4)</w:t>
      </w:r>
      <w:r>
        <w:rPr>
          <w:szCs w:val="24"/>
          <w:u w:val="single"/>
        </w:rPr>
        <w:t>(5)</w:t>
      </w:r>
      <w:r>
        <w:rPr>
          <w:szCs w:val="24"/>
        </w:rPr>
        <w:tab/>
      </w:r>
      <w:r w:rsidRPr="00FF5BDB">
        <w:rPr>
          <w:szCs w:val="24"/>
        </w:rPr>
        <w:t>‘</w:t>
      </w:r>
      <w:r w:rsidRPr="00A26942">
        <w:rPr>
          <w:szCs w:val="24"/>
        </w:rPr>
        <w:t>Patient</w:t>
      </w:r>
      <w:r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Pr="00C61006"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r>
      <w:r w:rsidRPr="00164D0C">
        <w:rPr>
          <w:strike/>
          <w:szCs w:val="24"/>
        </w:rPr>
        <w:t>(5)</w:t>
      </w:r>
      <w:r>
        <w:rPr>
          <w:szCs w:val="24"/>
          <w:u w:val="single"/>
        </w:rPr>
        <w:t>(6)</w:t>
      </w:r>
      <w:r w:rsidRPr="00C26759">
        <w:rPr>
          <w:szCs w:val="24"/>
        </w:rPr>
        <w:tab/>
      </w:r>
      <w:r w:rsidRPr="00FF5BDB">
        <w:rPr>
          <w:szCs w:val="24"/>
          <w:u w:val="single"/>
        </w:rPr>
        <w:t>‘</w:t>
      </w:r>
      <w:r>
        <w:rPr>
          <w:szCs w:val="24"/>
          <w:u w:val="single"/>
        </w:rPr>
        <w:t>Practitioner</w:t>
      </w:r>
      <w:r w:rsidRPr="00FF5BDB">
        <w:rPr>
          <w:szCs w:val="24"/>
          <w:u w:val="single"/>
        </w:rPr>
        <w:t>’</w:t>
      </w:r>
      <w:r>
        <w:rPr>
          <w:szCs w:val="24"/>
          <w:u w:val="single"/>
        </w:rPr>
        <w:t xml:space="preserve"> means an individual authorized pursuant to state and federal law to prescribe controlled substances.</w:t>
      </w:r>
      <w:r>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w:t>
      </w:r>
      <w:r w:rsidRPr="0060401E">
        <w:rPr>
          <w:color w:val="000000" w:themeColor="text1"/>
          <w:u w:color="000000" w:themeColor="text1"/>
        </w:rPr>
        <w:lastRenderedPageBreak/>
        <w:t>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6F2A2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A040CF">
        <w:rPr>
          <w:color w:val="000000" w:themeColor="text1"/>
          <w:u w:color="000000" w:themeColor="text1"/>
        </w:rPr>
        <w:t>“Section 40</w:t>
      </w:r>
      <w:r>
        <w:rPr>
          <w:color w:val="000000" w:themeColor="text1"/>
          <w:u w:color="000000" w:themeColor="text1"/>
        </w:rPr>
        <w:noBreakHyphen/>
      </w:r>
      <w:r w:rsidRPr="00A040CF">
        <w:rPr>
          <w:color w:val="000000" w:themeColor="text1"/>
          <w:u w:color="000000" w:themeColor="text1"/>
        </w:rPr>
        <w:t>15</w:t>
      </w:r>
      <w:r>
        <w:rPr>
          <w:color w:val="000000" w:themeColor="text1"/>
          <w:u w:color="000000" w:themeColor="text1"/>
        </w:rPr>
        <w:noBreakHyphen/>
      </w:r>
      <w:r w:rsidRPr="00A040CF">
        <w:rPr>
          <w:color w:val="000000" w:themeColor="text1"/>
          <w:u w:color="000000" w:themeColor="text1"/>
        </w:rPr>
        <w:t>145.</w:t>
      </w:r>
      <w:r>
        <w:rPr>
          <w:color w:val="000000" w:themeColor="text1"/>
          <w:u w:color="000000" w:themeColor="text1"/>
        </w:rPr>
        <w:tab/>
        <w:t xml:space="preserve">As part of the biennial continuing education </w:t>
      </w:r>
      <w:r w:rsidRPr="00A040CF">
        <w:rPr>
          <w:color w:val="000000" w:themeColor="text1"/>
          <w:u w:color="000000" w:themeColor="text1"/>
        </w:rPr>
        <w:t>required by the board or pursuant to law, including Regulation 39</w:t>
      </w:r>
      <w:r>
        <w:rPr>
          <w:color w:val="000000" w:themeColor="text1"/>
          <w:u w:color="000000" w:themeColor="text1"/>
        </w:rPr>
        <w:noBreakHyphen/>
      </w:r>
      <w:r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210, 44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230, and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lastRenderedPageBreak/>
        <w:tab/>
      </w:r>
      <w:r w:rsidR="006F2A2E">
        <w:rPr>
          <w:color w:val="000000" w:themeColor="text1"/>
          <w:u w:color="000000" w:themeColor="text1"/>
        </w:rPr>
        <w:tab/>
      </w:r>
      <w:r w:rsidR="006F2A2E" w:rsidRPr="0060401E">
        <w:rPr>
          <w:color w:val="000000" w:themeColor="text1"/>
          <w:u w:color="000000" w:themeColor="text1"/>
        </w:rPr>
        <w:t>“(3)</w:t>
      </w:r>
      <w:r w:rsidR="006F2A2E" w:rsidRPr="0060401E">
        <w:rPr>
          <w:color w:val="000000" w:themeColor="text1"/>
          <w:u w:color="000000" w:themeColor="text1"/>
        </w:rPr>
        <w:tab/>
        <w:t xml:space="preserve">every two years, the physician assistant shall provide documentation of four continuing education </w:t>
      </w:r>
      <w:r w:rsidR="006F2A2E" w:rsidRPr="00D25D72">
        <w:rPr>
          <w:strike/>
          <w:color w:val="000000" w:themeColor="text1"/>
          <w:u w:color="000000" w:themeColor="text1"/>
        </w:rPr>
        <w:t>contact</w:t>
      </w:r>
      <w:r w:rsidR="006F2A2E" w:rsidRPr="0060401E">
        <w:rPr>
          <w:color w:val="000000" w:themeColor="text1"/>
          <w:u w:color="000000" w:themeColor="text1"/>
        </w:rPr>
        <w:t xml:space="preserve"> hours </w:t>
      </w:r>
      <w:r w:rsidR="006F2A2E">
        <w:rPr>
          <w:color w:val="000000" w:themeColor="text1"/>
          <w:u w:color="000000" w:themeColor="text1"/>
        </w:rPr>
        <w:t xml:space="preserve">  </w:t>
      </w:r>
      <w:r w:rsidR="006F2A2E" w:rsidRPr="005A5BF6">
        <w:rPr>
          <w:strike/>
          <w:color w:val="000000" w:themeColor="text1"/>
          <w:u w:color="000000" w:themeColor="text1"/>
        </w:rPr>
        <w:t>in prescribing controlled substances acceptable to the board</w:t>
      </w:r>
      <w:r w:rsidR="006F2A2E">
        <w:rPr>
          <w:color w:val="000000" w:themeColor="text1"/>
          <w:u w:val="single" w:color="000000" w:themeColor="text1"/>
        </w:rPr>
        <w:t xml:space="preserve"> </w:t>
      </w:r>
      <w:r w:rsidR="006F2A2E" w:rsidRPr="00D25D72">
        <w:rPr>
          <w:color w:val="000000" w:themeColor="text1"/>
          <w:u w:val="single"/>
        </w:rPr>
        <w:t>related to</w:t>
      </w:r>
      <w:r w:rsidR="006F2A2E">
        <w:rPr>
          <w:color w:val="000000" w:themeColor="text1"/>
          <w:u w:val="single"/>
        </w:rPr>
        <w:t xml:space="preserve"> </w:t>
      </w:r>
      <w:r w:rsidR="006F2A2E" w:rsidRPr="00D25D72">
        <w:rPr>
          <w:color w:val="000000" w:themeColor="text1"/>
          <w:u w:val="single"/>
        </w:rPr>
        <w:t>approved</w:t>
      </w:r>
      <w:r w:rsidR="006F2A2E" w:rsidRPr="00533D06">
        <w:rPr>
          <w:color w:val="000000" w:themeColor="text1"/>
          <w:u w:val="single" w:color="000000" w:themeColor="text1"/>
        </w:rPr>
        <w:t xml:space="preserve"> procedures of prescribing and monitoring controlled substances listed in Schedules II, III, and IV of the schedules provided for in Sections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210, 44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230, and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250</w:t>
      </w:r>
      <w:r w:rsidR="006F2A2E"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6F2A2E"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Pr>
          <w:color w:val="000000" w:themeColor="text1"/>
          <w:u w:color="000000" w:themeColor="text1"/>
        </w:rPr>
        <w:noBreakHyphen/>
      </w:r>
      <w:r w:rsidRPr="00533D06">
        <w:rPr>
          <w:color w:val="000000" w:themeColor="text1"/>
          <w:u w:color="000000" w:themeColor="text1"/>
        </w:rPr>
        <w:t>51</w:t>
      </w:r>
      <w:r>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w:t>
      </w:r>
      <w:r w:rsidRPr="005A5BF6">
        <w:rPr>
          <w:strike/>
          <w:color w:val="000000" w:themeColor="text1"/>
          <w:u w:color="000000" w:themeColor="text1"/>
        </w:rPr>
        <w:t>an annual</w:t>
      </w:r>
      <w:r w:rsidRPr="00533D06">
        <w:rPr>
          <w:color w:val="000000" w:themeColor="text1"/>
          <w:u w:color="000000" w:themeColor="text1"/>
        </w:rPr>
        <w:t xml:space="preserve"> </w:t>
      </w:r>
      <w:r>
        <w:rPr>
          <w:color w:val="000000" w:themeColor="text1"/>
          <w:u w:val="single"/>
        </w:rPr>
        <w:t>a biennial</w:t>
      </w:r>
      <w:r>
        <w:rPr>
          <w:color w:val="000000" w:themeColor="text1"/>
          <w:u w:color="000000" w:themeColor="text1"/>
        </w:rPr>
        <w:t xml:space="preserve"> </w:t>
      </w:r>
      <w:r w:rsidRPr="00533D06">
        <w:rPr>
          <w:color w:val="000000" w:themeColor="text1"/>
          <w:u w:color="000000" w:themeColor="text1"/>
        </w:rPr>
        <w:t xml:space="preserve">renewal license fee which must be established in regulation by the board, </w:t>
      </w:r>
      <w:r w:rsidRPr="005A5BF6">
        <w:rPr>
          <w:strike/>
          <w:color w:val="000000" w:themeColor="text1"/>
          <w:u w:color="000000" w:themeColor="text1"/>
        </w:rPr>
        <w:t>annually</w:t>
      </w:r>
      <w:r w:rsidRPr="00533D06">
        <w:rPr>
          <w:color w:val="000000" w:themeColor="text1"/>
          <w:u w:color="000000" w:themeColor="text1"/>
        </w:rPr>
        <w:t xml:space="preserve"> </w:t>
      </w:r>
      <w:r>
        <w:rPr>
          <w:color w:val="000000" w:themeColor="text1"/>
          <w:u w:val="single"/>
        </w:rPr>
        <w:t>biennially</w:t>
      </w:r>
      <w:r>
        <w:rPr>
          <w:color w:val="000000" w:themeColor="text1"/>
          <w:u w:color="000000" w:themeColor="text1"/>
        </w:rPr>
        <w:t xml:space="preserve"> </w:t>
      </w:r>
      <w:r w:rsidRPr="00533D06">
        <w:rPr>
          <w:color w:val="000000" w:themeColor="text1"/>
          <w:u w:color="000000" w:themeColor="text1"/>
        </w:rPr>
        <w:t xml:space="preserve">must complete </w:t>
      </w:r>
      <w:r w:rsidRPr="005A5BF6">
        <w:rPr>
          <w:strike/>
          <w:color w:val="000000" w:themeColor="text1"/>
          <w:u w:color="000000" w:themeColor="text1"/>
        </w:rPr>
        <w:t>twelve</w:t>
      </w:r>
      <w:r w:rsidRPr="00533D06">
        <w:rPr>
          <w:color w:val="000000" w:themeColor="text1"/>
          <w:u w:color="000000" w:themeColor="text1"/>
        </w:rPr>
        <w:t xml:space="preserve"> </w:t>
      </w:r>
      <w:r>
        <w:rPr>
          <w:color w:val="000000" w:themeColor="text1"/>
          <w:u w:val="single"/>
        </w:rPr>
        <w:t>twenty-four</w:t>
      </w:r>
      <w:r>
        <w:rPr>
          <w:color w:val="000000" w:themeColor="text1"/>
          <w:u w:color="000000" w:themeColor="text1"/>
        </w:rPr>
        <w:t xml:space="preserve"> </w:t>
      </w:r>
      <w:r w:rsidRPr="00533D06">
        <w:rPr>
          <w:color w:val="000000" w:themeColor="text1"/>
          <w:u w:color="000000" w:themeColor="text1"/>
        </w:rPr>
        <w:t xml:space="preserve">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 xml:space="preserve">If a podiatrist is authorized pursuant to state and federal law to prescribe controlled substances, two of the requisite </w:t>
      </w:r>
      <w:r>
        <w:rPr>
          <w:color w:val="000000" w:themeColor="text1"/>
          <w:u w:val="single" w:color="000000" w:themeColor="text1"/>
        </w:rPr>
        <w:t xml:space="preserve">biennial </w:t>
      </w:r>
      <w:r w:rsidRPr="00533D06">
        <w:rPr>
          <w:color w:val="000000" w:themeColor="text1"/>
          <w:u w:val="single" w:color="000000" w:themeColor="text1"/>
        </w:rPr>
        <w:t>hours of continuing education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5A5BF6">
        <w:rPr>
          <w:strike/>
          <w:color w:val="000000" w:themeColor="text1"/>
          <w:u w:color="000000" w:themeColor="text1"/>
        </w:rPr>
        <w:t>This continuing education requirement takes effect and applies to licenses being renewed beginning in 1997.</w:t>
      </w:r>
      <w:r w:rsidRPr="0060401E">
        <w:rPr>
          <w:color w:val="000000" w:themeColor="text1"/>
          <w:u w:color="000000" w:themeColor="text1"/>
        </w:rPr>
        <w:t xml:space="preserve"> If the renewal fee is not paid within two months after the date of notification by the </w:t>
      </w:r>
      <w:r w:rsidRPr="005A5BF6">
        <w:rPr>
          <w:strike/>
          <w:color w:val="000000" w:themeColor="text1"/>
          <w:u w:color="000000" w:themeColor="text1"/>
        </w:rPr>
        <w:t>secretary</w:t>
      </w:r>
      <w:r w:rsidRPr="0060401E">
        <w:rPr>
          <w:color w:val="000000" w:themeColor="text1"/>
          <w:u w:color="000000" w:themeColor="text1"/>
        </w:rPr>
        <w:t xml:space="preserve"> </w:t>
      </w:r>
      <w:r>
        <w:rPr>
          <w:color w:val="000000" w:themeColor="text1"/>
          <w:u w:val="single"/>
        </w:rPr>
        <w:t>department</w:t>
      </w:r>
      <w:r>
        <w:rPr>
          <w:color w:val="000000" w:themeColor="text1"/>
          <w:u w:color="000000" w:themeColor="text1"/>
        </w:rPr>
        <w:t xml:space="preserve"> </w:t>
      </w:r>
      <w:r w:rsidRPr="0060401E">
        <w:rPr>
          <w:color w:val="000000" w:themeColor="text1"/>
          <w:u w:color="000000" w:themeColor="text1"/>
        </w:rPr>
        <w:t>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6F2A2E"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w:t>
      </w:r>
      <w:r w:rsidRPr="0060401E">
        <w:rPr>
          <w:color w:val="000000" w:themeColor="text1"/>
          <w:u w:color="000000" w:themeColor="text1"/>
        </w:rPr>
        <w:lastRenderedPageBreak/>
        <w:t>(CME),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C0202F">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and </w:t>
      </w:r>
      <w:r w:rsidRPr="00A040CF">
        <w:rPr>
          <w:color w:val="000000" w:themeColor="text1"/>
          <w:u w:val="single" w:color="000000" w:themeColor="text1"/>
        </w:rPr>
        <w:t xml:space="preserve">at least </w:t>
      </w:r>
      <w:r>
        <w:rPr>
          <w:color w:val="000000" w:themeColor="text1"/>
          <w:u w:val="single" w:color="000000" w:themeColor="text1"/>
        </w:rPr>
        <w:t xml:space="preserve">one </w:t>
      </w:r>
      <w:r w:rsidRPr="00A040CF">
        <w:rPr>
          <w:color w:val="000000" w:themeColor="text1"/>
          <w:u w:val="single" w:color="000000" w:themeColor="text1"/>
        </w:rPr>
        <w:t xml:space="preserve">hour must be related to </w:t>
      </w:r>
      <w:r>
        <w:rPr>
          <w:color w:val="000000" w:themeColor="text1"/>
          <w:u w:val="single" w:color="000000" w:themeColor="text1"/>
        </w:rPr>
        <w:t xml:space="preserve">approved procedures for  monitoring </w:t>
      </w:r>
      <w:r w:rsidRPr="00A040CF">
        <w:rPr>
          <w:color w:val="000000" w:themeColor="text1"/>
          <w:u w:val="single" w:color="000000" w:themeColor="text1"/>
        </w:rPr>
        <w:t>controlled substances listed in Schedules II, III</w:t>
      </w:r>
      <w:r w:rsidR="004A1CC7">
        <w:rPr>
          <w:color w:val="000000" w:themeColor="text1"/>
          <w:u w:val="single" w:color="000000" w:themeColor="text1"/>
        </w:rPr>
        <w:t>,</w:t>
      </w:r>
      <w:r w:rsidRPr="00A040CF">
        <w:rPr>
          <w:color w:val="000000" w:themeColor="text1"/>
          <w:u w:val="single" w:color="000000" w:themeColor="text1"/>
        </w:rPr>
        <w:t xml:space="preserve"> and IV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66288">
        <w:t>.</w:t>
      </w:r>
      <w:r>
        <w:tab/>
      </w:r>
      <w:r w:rsidRPr="00766288">
        <w:t>A.</w:t>
      </w:r>
      <w:r w:rsidRPr="00766288">
        <w:tab/>
      </w:r>
      <w:r w:rsidRPr="00766288">
        <w:tab/>
        <w:t>Section 40</w:t>
      </w:r>
      <w:r>
        <w:noBreakHyphen/>
      </w:r>
      <w:r w:rsidRPr="00766288">
        <w:t>43</w:t>
      </w:r>
      <w:r>
        <w:noBreakHyphen/>
      </w:r>
      <w:r w:rsidRPr="00766288">
        <w:t>82(C)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t>“(C)</w:t>
      </w:r>
      <w:r w:rsidRPr="00766288">
        <w:rPr>
          <w:u w:val="single"/>
        </w:rPr>
        <w:t>(1)</w:t>
      </w:r>
      <w:r w:rsidRPr="00766288">
        <w:tab/>
        <w:t xml:space="preserve">Notwithstanding any other provision of this chapter, a supervising pharmacist may authorize a certified pharmacy technician to </w:t>
      </w:r>
      <w:r w:rsidRPr="00766288">
        <w:rPr>
          <w:u w:val="single"/>
        </w:rPr>
        <w:t>perform any of the following actions including, but not limited to</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(1)</w:t>
      </w:r>
      <w:r w:rsidRPr="00766288">
        <w:rPr>
          <w:u w:val="single"/>
        </w:rPr>
        <w:t>(a)</w:t>
      </w:r>
      <w:r w:rsidRPr="00766288">
        <w:tab/>
      </w:r>
      <w:r w:rsidRPr="00766288">
        <w:rPr>
          <w:strike/>
        </w:rPr>
        <w:t>receive</w:t>
      </w:r>
      <w:r w:rsidRPr="00766288">
        <w:t xml:space="preserve"> </w:t>
      </w:r>
      <w:r w:rsidRPr="00766288">
        <w:rPr>
          <w:u w:val="single"/>
        </w:rPr>
        <w:t>receiving</w:t>
      </w:r>
      <w:r w:rsidRPr="00766288">
        <w:t xml:space="preserve"> and </w:t>
      </w:r>
      <w:r w:rsidRPr="00766288">
        <w:rPr>
          <w:strike/>
        </w:rPr>
        <w:t>initiate</w:t>
      </w:r>
      <w:r w:rsidRPr="00766288">
        <w:t xml:space="preserve"> </w:t>
      </w:r>
      <w:r w:rsidRPr="00766288">
        <w:rPr>
          <w:u w:val="single"/>
        </w:rPr>
        <w:t>initiating</w:t>
      </w:r>
      <w:r w:rsidRPr="00766288">
        <w:t xml:space="preserve"> verbal telephone orders;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(2)</w:t>
      </w:r>
      <w:r w:rsidRPr="00766288">
        <w:rPr>
          <w:u w:val="single"/>
        </w:rPr>
        <w:t>(b)</w:t>
      </w:r>
      <w:r w:rsidRPr="00766288">
        <w:tab/>
      </w:r>
      <w:r w:rsidRPr="00766288">
        <w:rPr>
          <w:strike/>
        </w:rPr>
        <w:t>conduct</w:t>
      </w:r>
      <w:r w:rsidRPr="00766288">
        <w:t xml:space="preserve"> </w:t>
      </w:r>
      <w:r w:rsidRPr="00766288">
        <w:rPr>
          <w:u w:val="single"/>
        </w:rPr>
        <w:t>conducting</w:t>
      </w:r>
      <w:r w:rsidRPr="00766288">
        <w:t xml:space="preserve"> one time prescription transfers;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6288">
        <w:tab/>
      </w:r>
      <w:r w:rsidRPr="00766288">
        <w:tab/>
      </w:r>
      <w:r w:rsidRPr="00766288">
        <w:rPr>
          <w:strike/>
        </w:rPr>
        <w:t>(3)</w:t>
      </w:r>
      <w:r w:rsidRPr="00766288">
        <w:rPr>
          <w:u w:val="single"/>
        </w:rPr>
        <w:t>(c)</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 xml:space="preserve">s refill of medications if the medication is to be administered by a licensed health care professional in an institutional setting; </w:t>
      </w:r>
      <w:r w:rsidRPr="00766288">
        <w:rPr>
          <w:u w:val="single"/>
        </w:rPr>
        <w:t>and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tab/>
      </w:r>
      <w:r w:rsidRPr="00766288">
        <w:rPr>
          <w:strike/>
        </w:rPr>
        <w:t>(4)</w:t>
      </w:r>
      <w:r w:rsidRPr="00766288">
        <w:rPr>
          <w:u w:val="single"/>
        </w:rPr>
        <w:t>(d)</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s repackaging of medications from bulk to unit dose in an institutional setting.</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rPr>
          <w:u w:val="single"/>
        </w:rPr>
        <w:t>(2)</w:t>
      </w:r>
      <w:r w:rsidRPr="00766288">
        <w:tab/>
      </w:r>
      <w:r w:rsidRPr="00766288">
        <w:rPr>
          <w:u w:val="single"/>
        </w:rPr>
        <w:t>Nothing in this section prevents the Board of Pharmacy from establishing duties for a certified technician</w:t>
      </w:r>
      <w:r>
        <w:rPr>
          <w:u w:val="single"/>
        </w:rPr>
        <w:t>; provided, however, that a certified technician is prohibited from checking another technician</w:t>
      </w:r>
      <w:r w:rsidRPr="004012E2">
        <w:rPr>
          <w:u w:val="single"/>
        </w:rPr>
        <w:t>’</w:t>
      </w:r>
      <w:r>
        <w:rPr>
          <w:u w:val="single"/>
        </w:rPr>
        <w:t>s fill, refill, or repackaging of medications for delivery to a patient in an outpatient setting</w:t>
      </w:r>
      <w:r w:rsidRPr="00766288">
        <w:rPr>
          <w:u w:val="single"/>
        </w:rPr>
        <w:t>.</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B.</w:t>
      </w:r>
      <w:r w:rsidRPr="00766288">
        <w:tab/>
        <w:t>Section 40</w:t>
      </w:r>
      <w:r>
        <w:noBreakHyphen/>
      </w:r>
      <w:r w:rsidRPr="00766288">
        <w:t>43</w:t>
      </w:r>
      <w:r>
        <w:noBreakHyphen/>
      </w:r>
      <w:r w:rsidRPr="00766288">
        <w:t>82 is amended by adding an appropriately lettered new subsection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766288">
        <w:t>)</w:t>
      </w:r>
      <w:r w:rsidRPr="00766288">
        <w:tab/>
        <w:t>Pharmacy technicians are exempt from continuing education requirements for the first renewal period following initial registration.”</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11</w:t>
      </w:r>
      <w:r w:rsidRPr="00766288">
        <w:t>.</w:t>
      </w:r>
      <w:r w:rsidRPr="00766288">
        <w:tab/>
        <w:t>Section 40</w:t>
      </w:r>
      <w:r>
        <w:noBreakHyphen/>
      </w:r>
      <w:r w:rsidRPr="00766288">
        <w:t>43</w:t>
      </w:r>
      <w:r>
        <w:noBreakHyphen/>
      </w:r>
      <w:r w:rsidRPr="00766288">
        <w:t>86(B)(4)(b)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t>“(b)</w:t>
      </w:r>
      <w:r w:rsidRPr="00766288">
        <w:tab/>
        <w:t>The pharmacist</w:t>
      </w:r>
      <w:r>
        <w:noBreakHyphen/>
      </w:r>
      <w:r w:rsidRPr="00766288">
        <w:t>in</w:t>
      </w:r>
      <w:r>
        <w:noBreakHyphen/>
      </w:r>
      <w:r w:rsidRPr="00766288">
        <w:t xml:space="preserve">charge shall develop and implement written policies and procedures to specify the duties to be performed by pharmacy technicians. The duties and responsibilities of these </w:t>
      </w:r>
      <w:r w:rsidRPr="00766288">
        <w:lastRenderedPageBreak/>
        <w:t xml:space="preserve">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sidRPr="00766288">
        <w:rPr>
          <w:strike/>
        </w:rPr>
        <w:t>three</w:t>
      </w:r>
      <w:r w:rsidRPr="00766288">
        <w:t xml:space="preserve"> </w:t>
      </w:r>
      <w:r w:rsidRPr="00766288">
        <w:rPr>
          <w:u w:val="single"/>
        </w:rPr>
        <w:t>a total of four</w:t>
      </w:r>
      <w:r>
        <w:t xml:space="preserve"> </w:t>
      </w:r>
      <w:r w:rsidRPr="00766288">
        <w:t>pharmacy technicians at a time</w:t>
      </w:r>
      <w:r w:rsidRPr="00766288">
        <w:rPr>
          <w:strike/>
        </w:rPr>
        <w:t>; through June 30, 2006, at least one of these three technicians must be state</w:t>
      </w:r>
      <w:r>
        <w:rPr>
          <w:strike/>
        </w:rPr>
        <w:noBreakHyphen/>
      </w:r>
      <w:r w:rsidRPr="00766288">
        <w:rPr>
          <w:strike/>
        </w:rPr>
        <w:t>certified, and after June 30, 2006, at least two of these three technicians must be state</w:t>
      </w:r>
      <w:r>
        <w:rPr>
          <w:strike/>
        </w:rPr>
        <w:noBreakHyphen/>
      </w:r>
      <w:r w:rsidRPr="00766288">
        <w:rPr>
          <w:strike/>
        </w:rPr>
        <w:t>certified</w:t>
      </w:r>
      <w:r w:rsidRPr="00766288">
        <w:rPr>
          <w:u w:val="single"/>
        </w:rPr>
        <w:t>, including both state certified and non</w:t>
      </w:r>
      <w:r>
        <w:rPr>
          <w:u w:val="single"/>
        </w:rPr>
        <w:noBreakHyphen/>
      </w:r>
      <w:r w:rsidRPr="00766288">
        <w:rPr>
          <w:u w:val="single"/>
        </w:rPr>
        <w:t>state certified technicians</w:t>
      </w:r>
      <w:r w:rsidRPr="00766288">
        <w:t xml:space="preserve">. </w:t>
      </w:r>
      <w:r w:rsidRPr="00766288">
        <w:rPr>
          <w:u w:val="single"/>
        </w:rPr>
        <w:t>One pharmacist may not supervise more than two non</w:t>
      </w:r>
      <w:r>
        <w:rPr>
          <w:u w:val="single"/>
        </w:rPr>
        <w:noBreakHyphen/>
      </w:r>
      <w:r w:rsidRPr="00766288">
        <w:rPr>
          <w:u w:val="single"/>
        </w:rPr>
        <w:t>state certified technicians at a time.</w:t>
      </w:r>
      <w:r w:rsidRPr="00766288">
        <w:t xml:space="preserve"> If a pharmacist supervises only one or two pharmacy technicians, these technicians are not required to be state</w:t>
      </w:r>
      <w:r>
        <w:noBreakHyphen/>
      </w:r>
      <w:r w:rsidRPr="00766288">
        <w:t>certified. Pharmacy technicians do not include personnel in the prescription area performing only clerical functions, including data entry up to the point of dispensing, as defined in Section 40</w:t>
      </w:r>
      <w:r>
        <w:noBreakHyphen/>
      </w:r>
      <w:r w:rsidRPr="00766288">
        <w:t>43</w:t>
      </w:r>
      <w:r>
        <w:noBreakHyphen/>
      </w:r>
      <w:r w:rsidRPr="00766288">
        <w:t>30(14).”</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12</w:t>
      </w:r>
      <w:r w:rsidRPr="00766288">
        <w:t>.</w:t>
      </w:r>
      <w:r w:rsidRPr="00766288">
        <w:tab/>
        <w:t>Section 40</w:t>
      </w:r>
      <w:r>
        <w:noBreakHyphen/>
      </w:r>
      <w:r w:rsidRPr="00766288">
        <w:t>43</w:t>
      </w:r>
      <w:r>
        <w:noBreakHyphen/>
      </w:r>
      <w:r w:rsidRPr="00766288">
        <w:t>130(G) is amended by adding an appropriately numbered new item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  </w:t>
      </w:r>
      <w:r w:rsidRPr="00766288">
        <w:t>)</w:t>
      </w:r>
      <w:r w:rsidRPr="00766288">
        <w:tab/>
        <w:t>Pharmacy technicians are exempt from continuing education requirements while enrolled in a pharmacy technician program, as well as during the first renewal period following succes</w:t>
      </w:r>
      <w:r>
        <w:t xml:space="preserve">sful completion of the program.” </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13.</w:t>
      </w:r>
      <w:r>
        <w:rPr>
          <w:snapToGrid w:val="0"/>
        </w:rPr>
        <w:tab/>
      </w:r>
      <w:r w:rsidRPr="00BE2498">
        <w:t>Chapter 43, Title 40 of the 1976 Code is amended by adding:</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t>“Section 40</w:t>
      </w:r>
      <w:r>
        <w:noBreakHyphen/>
      </w:r>
      <w:r w:rsidRPr="00BE2498">
        <w:t>43</w:t>
      </w:r>
      <w:r>
        <w:noBreakHyphen/>
      </w:r>
      <w:r w:rsidRPr="00BE2498">
        <w:t>75.</w:t>
      </w:r>
      <w:r w:rsidRPr="00BE2498">
        <w:tab/>
        <w:t>(A)</w:t>
      </w:r>
      <w:r w:rsidRPr="00BE2498">
        <w:tab/>
        <w:t>For purposes of this section:</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‘Renal </w:t>
      </w:r>
      <w:r>
        <w:t>d</w:t>
      </w:r>
      <w:r w:rsidRPr="00BE2498">
        <w:t xml:space="preserve">ialysis </w:t>
      </w:r>
      <w:r>
        <w:t>f</w:t>
      </w:r>
      <w:r w:rsidRPr="00BE2498">
        <w:t>acility’ or ‘RDF’ means an outpatient facility that treats and offers staff</w:t>
      </w:r>
      <w:r>
        <w:noBreakHyphen/>
      </w:r>
      <w:r w:rsidRPr="00BE2498">
        <w:t>assisted dialysis or training and support services for self</w:t>
      </w:r>
      <w:r>
        <w:noBreakHyphen/>
      </w:r>
      <w:r w:rsidRPr="00BE2498">
        <w:t>dialysis patients to end</w:t>
      </w:r>
      <w:r>
        <w:noBreakHyphen/>
      </w:r>
      <w:r w:rsidRPr="00BE2498">
        <w:t xml:space="preserve">stage renal disease patients, as defined by Centers for Medicare and Medicaid Services. An RDF may be composed of one or more fixed buildings, mobile </w:t>
      </w:r>
      <w:r w:rsidR="004F7E6E" w:rsidRPr="00BE2498">
        <w:t>units, or a combination of them, as defined in R. 61</w:t>
      </w:r>
      <w:r w:rsidR="004F7E6E">
        <w:noBreakHyphen/>
      </w:r>
      <w:r w:rsidR="004F7E6E" w:rsidRPr="00BE2498">
        <w:t>9</w:t>
      </w:r>
      <w:r w:rsidR="004F7E6E">
        <w:t>7</w:t>
      </w:r>
      <w:r w:rsidR="004F7E6E" w:rsidRPr="00BE2498">
        <w:t>.  An</w:t>
      </w:r>
      <w:r w:rsidRPr="00BE2498">
        <w:t xml:space="preserve"> RDF must be certified by Medicare to provide dialysis</w:t>
      </w:r>
      <w:r>
        <w:noBreakHyphen/>
      </w:r>
      <w:r w:rsidRPr="00BE2498">
        <w:t xml:space="preserve">related services to ESRD patients and must have a medical director licensed as a physician, pursuant to Chapter 47, </w:t>
      </w:r>
      <w:r>
        <w:t>T</w:t>
      </w:r>
      <w:r w:rsidRPr="00BE2498">
        <w:t>itle</w:t>
      </w:r>
      <w:r>
        <w:t xml:space="preserve"> 40,</w:t>
      </w:r>
      <w:r w:rsidRPr="00BE2498">
        <w:t xml:space="preserve"> on staff.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‘End-s</w:t>
      </w:r>
      <w:r w:rsidRPr="00BE2498">
        <w:t xml:space="preserve">tage </w:t>
      </w:r>
      <w:r>
        <w:t>r</w:t>
      </w:r>
      <w:r w:rsidRPr="00BE2498">
        <w:t xml:space="preserve">enal </w:t>
      </w:r>
      <w:r>
        <w:t>d</w:t>
      </w:r>
      <w:r w:rsidRPr="00BE2498">
        <w:t>isease’ or ‘ESRD’ means the disease state, and associated conditions, defined under 42 C.F.R. 406.13 and the United States Social Security Act.</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lastRenderedPageBreak/>
        <w:tab/>
        <w:t>(B)</w:t>
      </w:r>
      <w:r w:rsidRPr="00BE2498">
        <w:tab/>
        <w:t>An RDF may deliver a legend drug or device to a patient of an RDF if: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the drug or device is for home use by the patient or </w:t>
      </w:r>
      <w:r>
        <w:t xml:space="preserve">for </w:t>
      </w:r>
      <w:r w:rsidRPr="00BE2498">
        <w:t>administration in the facility as required by the prescriber’s order or prescription;</w:t>
      </w:r>
      <w:r w:rsidRPr="00BE2498" w:rsidDel="00F62312">
        <w:t xml:space="preserve">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(2)</w:t>
      </w:r>
      <w:r w:rsidRPr="00BE2498">
        <w:tab/>
        <w:t xml:space="preserve">the drug or device is dispensed to the RDF by a properly licensed resident or nonresident pharmacy licensed by the board or administered by a properly licensed healthcare practitioner;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(3)</w:t>
      </w:r>
      <w:r w:rsidRPr="00BE2498">
        <w:tab/>
        <w:t>the drug or device is dispensed by the pharmacy pursuant to a valid prescription issued by a licensed practitioner, as defined in Section 40</w:t>
      </w:r>
      <w:r>
        <w:noBreakHyphen/>
      </w:r>
      <w:r w:rsidRPr="00BE2498">
        <w:t>43</w:t>
      </w:r>
      <w:r>
        <w:noBreakHyphen/>
      </w:r>
      <w:r w:rsidRPr="00BE2498">
        <w:t>30(45);</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(4)</w:t>
      </w:r>
      <w:r w:rsidRPr="00BE2498">
        <w:tab/>
        <w:t>the drug or device delivered by the RDF is properly labeled in accordance with state and federal law;</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(5)</w:t>
      </w:r>
      <w:r w:rsidRPr="00BE2498">
        <w:tab/>
        <w:t xml:space="preserve">the drug or device is held by the RDF in a secure location in an area not accessible to the public, and packages containing drugs or devices are delivered by RDF staff, unopened, to the patient;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(6)</w:t>
      </w:r>
      <w:r w:rsidRPr="00BE2498">
        <w:tab/>
        <w:t xml:space="preserve">the patient is given a choice of receiving the drug or device from the RDF, at their home, or from another agent;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(7)</w:t>
      </w:r>
      <w:r w:rsidRPr="00BE2498">
        <w:tab/>
        <w:t>the drugs exclude controlled substances; and</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(8)</w:t>
      </w:r>
      <w:r w:rsidRPr="00BE2498">
        <w:tab/>
        <w:t>the RDF maintains policies and procedures concerning how it will receive, store, maintain, and return any drugs or devices that are not picked up by the patient and returned to the dispensing pharmacy.</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498">
        <w:tab/>
        <w:t>(C)</w:t>
      </w:r>
      <w:r w:rsidRPr="00BE2498">
        <w:tab/>
        <w:t>The provisions of this section do not waive any other requirements to obtain licensure, permit</w:t>
      </w:r>
      <w:r>
        <w:t>s</w:t>
      </w:r>
      <w:r w:rsidRPr="00BE2498">
        <w:t>, or certification as required by law to possess legend drug products. A facility engaged in an activity related to the delivery or distribution of legend drugs still shall hold the requisite licensure or drug permits required by law.”</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14.</w:t>
      </w:r>
      <w:r>
        <w:rPr>
          <w:snapToGrid w:val="0"/>
        </w:rPr>
        <w:tab/>
      </w:r>
      <w:r w:rsidRPr="00EA0D8D">
        <w:rPr>
          <w:color w:val="000000" w:themeColor="text1"/>
          <w:u w:color="000000" w:themeColor="text1"/>
        </w:rPr>
        <w:t>Section 40</w:t>
      </w:r>
      <w:r w:rsidRPr="00EA0D8D">
        <w:rPr>
          <w:color w:val="000000" w:themeColor="text1"/>
          <w:u w:color="000000" w:themeColor="text1"/>
        </w:rPr>
        <w:noBreakHyphen/>
        <w:t>43</w:t>
      </w:r>
      <w:r w:rsidRPr="00EA0D8D">
        <w:rPr>
          <w:color w:val="000000" w:themeColor="text1"/>
          <w:u w:color="000000" w:themeColor="text1"/>
        </w:rPr>
        <w:noBreakHyphen/>
        <w:t>86(P) of the 1976 Code is amended to read:</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t>“(P)</w:t>
      </w:r>
      <w:r w:rsidRPr="00EA0D8D">
        <w:rPr>
          <w:color w:val="000000" w:themeColor="text1"/>
          <w:u w:color="000000" w:themeColor="text1"/>
        </w:rPr>
        <w:tab/>
        <w:t>If a pharmacist receives a request for a prescription refill and the pharmacist is unable to obtain refill authorization from the prescriber, the pharmacist may dispense</w:t>
      </w:r>
      <w:r w:rsidRPr="00EA0D8D">
        <w:rPr>
          <w:color w:val="000000" w:themeColor="text1"/>
          <w:u w:val="single"/>
        </w:rPr>
        <w:t>,</w:t>
      </w:r>
      <w:r w:rsidRPr="00EA0D8D">
        <w:rPr>
          <w:color w:val="000000" w:themeColor="text1"/>
          <w:u w:color="000000" w:themeColor="text1"/>
        </w:rPr>
        <w:t xml:space="preserve"> </w:t>
      </w:r>
      <w:r w:rsidRPr="00EA0D8D">
        <w:rPr>
          <w:strike/>
          <w:color w:val="000000" w:themeColor="text1"/>
          <w:u w:color="000000" w:themeColor="text1"/>
        </w:rPr>
        <w:t>a 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strike/>
          <w:color w:val="000000" w:themeColor="text1"/>
          <w:u w:color="000000" w:themeColor="text1"/>
        </w:rPr>
        <w:t>refill</w:t>
      </w:r>
      <w:r w:rsidRPr="00EA0D8D">
        <w:rPr>
          <w:color w:val="000000" w:themeColor="text1"/>
          <w:u w:color="000000" w:themeColor="text1"/>
        </w:rPr>
        <w:t xml:space="preserve"> </w:t>
      </w:r>
      <w:r w:rsidRPr="00EA0D8D">
        <w:rPr>
          <w:color w:val="000000" w:themeColor="text1"/>
          <w:u w:val="single" w:color="000000" w:themeColor="text1"/>
        </w:rPr>
        <w:t>once within a twelve</w:t>
      </w:r>
      <w:r>
        <w:rPr>
          <w:color w:val="000000" w:themeColor="text1"/>
          <w:u w:val="single" w:color="000000" w:themeColor="text1"/>
        </w:rPr>
        <w:t>-</w:t>
      </w:r>
      <w:r w:rsidRPr="00EA0D8D">
        <w:rPr>
          <w:color w:val="000000" w:themeColor="text1"/>
          <w:u w:val="single" w:color="000000" w:themeColor="text1"/>
        </w:rPr>
        <w:t>month period,</w:t>
      </w:r>
      <w:r w:rsidRPr="00EA0D8D">
        <w:rPr>
          <w:color w:val="000000" w:themeColor="text1"/>
          <w:u w:color="000000" w:themeColor="text1"/>
        </w:rPr>
        <w:t xml:space="preserve"> </w:t>
      </w:r>
      <w:r w:rsidRPr="00EA0D8D">
        <w:rPr>
          <w:strike/>
          <w:color w:val="000000" w:themeColor="text1"/>
          <w:u w:color="000000" w:themeColor="text1"/>
        </w:rPr>
        <w:t>of up to</w:t>
      </w:r>
      <w:r w:rsidRPr="00EA0D8D">
        <w:rPr>
          <w:color w:val="000000" w:themeColor="text1"/>
          <w:u w:color="000000" w:themeColor="text1"/>
        </w:rPr>
        <w:t xml:space="preserve"> a </w:t>
      </w:r>
      <w:r w:rsidRPr="00EA0D8D">
        <w:rPr>
          <w:strike/>
          <w:color w:val="000000" w:themeColor="text1"/>
          <w:u w:color="000000" w:themeColor="text1"/>
        </w:rPr>
        <w:t>seventy</w:t>
      </w:r>
      <w:r w:rsidRPr="00EA0D8D">
        <w:rPr>
          <w:strike/>
          <w:color w:val="000000" w:themeColor="text1"/>
          <w:u w:color="000000" w:themeColor="text1"/>
        </w:rPr>
        <w:noBreakHyphen/>
        <w:t>two hour</w:t>
      </w:r>
      <w:r w:rsidRPr="00EA0D8D">
        <w:rPr>
          <w:color w:val="000000" w:themeColor="text1"/>
          <w:u w:color="000000" w:themeColor="text1"/>
        </w:rPr>
        <w:t xml:space="preserve"> </w:t>
      </w:r>
      <w:r w:rsidRPr="00EA0D8D">
        <w:rPr>
          <w:color w:val="000000" w:themeColor="text1"/>
          <w:u w:val="single"/>
        </w:rPr>
        <w:t xml:space="preserve">an emergency refill of up to a </w:t>
      </w:r>
      <w:r>
        <w:rPr>
          <w:color w:val="000000" w:themeColor="text1"/>
          <w:u w:val="single"/>
        </w:rPr>
        <w:t>ten</w:t>
      </w:r>
      <w:r w:rsidR="00E90BB8">
        <w:rPr>
          <w:color w:val="000000" w:themeColor="text1"/>
          <w:u w:val="single" w:color="000000" w:themeColor="text1"/>
        </w:rPr>
        <w:t>-</w:t>
      </w:r>
      <w:r w:rsidRPr="00EA0D8D">
        <w:rPr>
          <w:color w:val="000000" w:themeColor="text1"/>
          <w:u w:val="single" w:color="000000" w:themeColor="text1"/>
        </w:rPr>
        <w:t>day</w:t>
      </w:r>
      <w:r w:rsidRPr="00EA0D8D">
        <w:rPr>
          <w:color w:val="000000" w:themeColor="text1"/>
          <w:u w:color="000000" w:themeColor="text1"/>
        </w:rPr>
        <w:t xml:space="preserve"> supply of the prescribed medication if:</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(1)</w:t>
      </w:r>
      <w:r w:rsidRPr="00EA0D8D">
        <w:rPr>
          <w:color w:val="000000" w:themeColor="text1"/>
          <w:u w:color="000000" w:themeColor="text1"/>
        </w:rPr>
        <w:tab/>
        <w:t>the prescription is not for a controlled substance;</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(2)</w:t>
      </w:r>
      <w:r w:rsidRPr="00EA0D8D">
        <w:rPr>
          <w:color w:val="000000" w:themeColor="text1"/>
          <w:u w:color="000000" w:themeColor="text1"/>
        </w:rPr>
        <w:tab/>
        <w:t>the medication is essential to the maintenance of life or to the continuation of therapy;</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lastRenderedPageBreak/>
        <w:tab/>
      </w:r>
      <w:r w:rsidRPr="00EA0D8D">
        <w:rPr>
          <w:color w:val="000000" w:themeColor="text1"/>
          <w:u w:color="000000" w:themeColor="text1"/>
        </w:rPr>
        <w:tab/>
        <w:t>(3)</w:t>
      </w:r>
      <w:r w:rsidRPr="00EA0D8D">
        <w:rPr>
          <w:color w:val="000000" w:themeColor="text1"/>
          <w:u w:color="000000" w:themeColor="text1"/>
        </w:rPr>
        <w:tab/>
        <w:t xml:space="preserve">in the pharmacist’s professional judgment, continuing the therapy for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rPr>
        <w:t xml:space="preserve">up to </w:t>
      </w:r>
      <w:r>
        <w:rPr>
          <w:color w:val="000000" w:themeColor="text1"/>
          <w:u w:val="single" w:color="000000" w:themeColor="text1"/>
        </w:rPr>
        <w:t>ten</w:t>
      </w:r>
      <w:r w:rsidRPr="00EA0D8D">
        <w:rPr>
          <w:color w:val="000000" w:themeColor="text1"/>
          <w:u w:val="single" w:color="000000" w:themeColor="text1"/>
        </w:rPr>
        <w:t xml:space="preserve"> days</w:t>
      </w:r>
      <w:r w:rsidRPr="00EA0D8D">
        <w:rPr>
          <w:color w:val="000000" w:themeColor="text1"/>
          <w:u w:color="000000" w:themeColor="text1"/>
        </w:rPr>
        <w:t xml:space="preserve"> will produce no undesirable health consequences or cause physical or mental discomfort;</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(4)</w:t>
      </w:r>
      <w:r w:rsidRPr="00EA0D8D">
        <w:rPr>
          <w:color w:val="000000" w:themeColor="text1"/>
          <w:u w:color="000000" w:themeColor="text1"/>
        </w:rPr>
        <w:tab/>
        <w:t>the pharmacist properly records the dispensing; and</w:t>
      </w:r>
    </w:p>
    <w:p w:rsidR="00756A2F"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0D8D">
        <w:rPr>
          <w:color w:val="000000" w:themeColor="text1"/>
          <w:u w:color="000000" w:themeColor="text1"/>
        </w:rPr>
        <w:tab/>
      </w:r>
      <w:r w:rsidRPr="00EA0D8D">
        <w:rPr>
          <w:color w:val="000000" w:themeColor="text1"/>
          <w:u w:color="000000" w:themeColor="text1"/>
        </w:rPr>
        <w:tab/>
        <w:t>(5)</w:t>
      </w:r>
      <w:r w:rsidRPr="00EA0D8D">
        <w:rPr>
          <w:color w:val="000000" w:themeColor="text1"/>
          <w:u w:color="000000" w:themeColor="text1"/>
        </w:rPr>
        <w:tab/>
        <w:t xml:space="preserve">the dispensing pharmacist notifies the prescriber of the </w:t>
      </w:r>
      <w:r w:rsidRPr="00EA0D8D">
        <w:rPr>
          <w:strike/>
          <w:color w:val="000000" w:themeColor="text1"/>
          <w:u w:color="000000" w:themeColor="text1"/>
        </w:rPr>
        <w:t>emergency dispensing</w:t>
      </w:r>
      <w:r w:rsidRPr="00EA0D8D">
        <w:rPr>
          <w:color w:val="000000" w:themeColor="text1"/>
          <w:u w:color="000000" w:themeColor="text1"/>
        </w:rPr>
        <w:t xml:space="preserve"> </w:t>
      </w:r>
      <w:r w:rsidRPr="00EA0D8D">
        <w:rPr>
          <w:color w:val="000000" w:themeColor="text1"/>
          <w:u w:val="single"/>
        </w:rPr>
        <w:t>refill and the amount of the refill, not to exceed a t</w:t>
      </w:r>
      <w:r>
        <w:rPr>
          <w:color w:val="000000" w:themeColor="text1"/>
          <w:u w:val="single"/>
        </w:rPr>
        <w:t>en-</w:t>
      </w:r>
      <w:r w:rsidRPr="00EA0D8D">
        <w:rPr>
          <w:color w:val="000000" w:themeColor="text1"/>
          <w:u w:val="single"/>
        </w:rPr>
        <w:t>day supply,</w:t>
      </w:r>
      <w:r w:rsidRPr="00EA0D8D">
        <w:rPr>
          <w:color w:val="000000" w:themeColor="text1"/>
        </w:rPr>
        <w:t xml:space="preserve"> </w:t>
      </w:r>
      <w:r w:rsidRPr="00EA0D8D">
        <w:rPr>
          <w:color w:val="000000" w:themeColor="text1"/>
          <w:u w:color="000000" w:themeColor="text1"/>
        </w:rPr>
        <w:t xml:space="preserve">within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color="000000" w:themeColor="text1"/>
        </w:rPr>
        <w:t>a reasonable time, but no later than t</w:t>
      </w:r>
      <w:r>
        <w:rPr>
          <w:color w:val="000000" w:themeColor="text1"/>
          <w:u w:val="single" w:color="000000" w:themeColor="text1"/>
        </w:rPr>
        <w:t>en</w:t>
      </w:r>
      <w:r w:rsidR="00D86908">
        <w:rPr>
          <w:color w:val="000000" w:themeColor="text1"/>
          <w:u w:val="single" w:color="000000" w:themeColor="text1"/>
        </w:rPr>
        <w:t>-</w:t>
      </w:r>
      <w:r w:rsidRPr="00EA0D8D">
        <w:rPr>
          <w:color w:val="000000" w:themeColor="text1"/>
          <w:u w:val="single" w:color="000000" w:themeColor="text1"/>
        </w:rPr>
        <w:t>days</w:t>
      </w:r>
      <w:r w:rsidRPr="00EA0D8D">
        <w:rPr>
          <w:color w:val="000000" w:themeColor="text1"/>
          <w:u w:color="000000" w:themeColor="text1"/>
        </w:rPr>
        <w:t xml:space="preserve"> after the </w:t>
      </w:r>
      <w:r w:rsidRPr="00EA0D8D">
        <w:rPr>
          <w:strike/>
          <w:color w:val="000000" w:themeColor="text1"/>
          <w:u w:color="000000" w:themeColor="text1"/>
        </w:rPr>
        <w:t>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color w:val="000000" w:themeColor="text1"/>
          <w:u w:val="single" w:color="000000" w:themeColor="text1"/>
        </w:rPr>
        <w:t>once in twelve months</w:t>
      </w:r>
      <w:r w:rsidRPr="00EA0D8D">
        <w:rPr>
          <w:color w:val="000000" w:themeColor="text1"/>
          <w:u w:color="000000" w:themeColor="text1"/>
        </w:rPr>
        <w:t xml:space="preserve"> refill dispensing.”</w:t>
      </w:r>
      <w:r>
        <w:rPr>
          <w:color w:val="000000" w:themeColor="text1"/>
          <w:u w:color="000000" w:themeColor="text1"/>
        </w:rPr>
        <w:tab/>
      </w:r>
    </w:p>
    <w:p w:rsidR="00756A2F"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E6E" w:rsidRDefault="004F7E6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15.</w:t>
      </w:r>
      <w:r>
        <w:rPr>
          <w:snapToGrid w:val="0"/>
        </w:rPr>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7E6E" w:rsidRDefault="004F7E6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4F7E6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16</w:t>
      </w:r>
      <w:r w:rsidR="00C0475C">
        <w:rPr>
          <w:color w:val="000000" w:themeColor="text1"/>
          <w:u w:color="000000" w:themeColor="text1"/>
        </w:rPr>
        <w:t>.</w:t>
      </w:r>
      <w:r w:rsidR="00C0475C">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2965" w:rsidRDefault="00F02965" w:rsidP="00F02965">
      <w:pPr>
        <w:suppressAutoHyphens/>
      </w:pPr>
    </w:p>
    <w:sectPr w:rsidR="00F02965"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FB385E-FA39-41D7-9FD8-E1D4692C4A33}"/>
    <w:embedBold r:id="rId2" w:fontKey="{C7912292-8B29-498C-8FF9-524767C235B8}"/>
  </w:font>
  <w:font w:name="Calibri">
    <w:panose1 w:val="020F0502020204030204"/>
    <w:charset w:val="00"/>
    <w:family w:val="swiss"/>
    <w:pitch w:val="variable"/>
    <w:sig w:usb0="E00002FF" w:usb1="4000ACFF" w:usb2="00000001" w:usb3="00000000" w:csb0="0000019F" w:csb1="00000000"/>
    <w:embedRegular r:id="rId3" w:fontKey="{B5CC2193-CE27-42BF-993C-FB9E5DAD840E}"/>
  </w:font>
  <w:font w:name="Cambria">
    <w:panose1 w:val="02040503050406030204"/>
    <w:charset w:val="00"/>
    <w:family w:val="roman"/>
    <w:pitch w:val="variable"/>
    <w:sig w:usb0="E00002FF" w:usb1="400004FF" w:usb2="00000000" w:usb3="00000000" w:csb0="0000019F" w:csb1="00000000"/>
    <w:embedRegular r:id="rId4" w:fontKey="{AA0055BB-6B7B-4633-AC63-ABA4A71B561F}"/>
  </w:font>
  <w:font w:name="Segoe UI">
    <w:panose1 w:val="020B0502040204020203"/>
    <w:charset w:val="00"/>
    <w:family w:val="swiss"/>
    <w:pitch w:val="variable"/>
    <w:sig w:usb0="E10022FF" w:usb1="C000E47F" w:usb2="00000029" w:usb3="00000000" w:csb0="000001DF" w:csb1="00000000"/>
    <w:embedRegular r:id="rId5" w:fontKey="{D77F5FBC-CFD8-43F9-B0A5-AACBC71EC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F02965">
      <w:rPr>
        <w:noProof/>
      </w:rPr>
      <w:t>1</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F029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73E96"/>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1CC7"/>
    <w:rsid w:val="004A3352"/>
    <w:rsid w:val="004B599A"/>
    <w:rsid w:val="004E7D54"/>
    <w:rsid w:val="004F7E6E"/>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6F2A2E"/>
    <w:rsid w:val="0071319E"/>
    <w:rsid w:val="00715D95"/>
    <w:rsid w:val="0073459E"/>
    <w:rsid w:val="00734F00"/>
    <w:rsid w:val="00736418"/>
    <w:rsid w:val="00756A2F"/>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86908"/>
    <w:rsid w:val="00D91777"/>
    <w:rsid w:val="00D970A9"/>
    <w:rsid w:val="00DF3845"/>
    <w:rsid w:val="00E37A3B"/>
    <w:rsid w:val="00E41911"/>
    <w:rsid w:val="00E44B57"/>
    <w:rsid w:val="00E54646"/>
    <w:rsid w:val="00E80595"/>
    <w:rsid w:val="00E8072A"/>
    <w:rsid w:val="00E90BB8"/>
    <w:rsid w:val="00E91A13"/>
    <w:rsid w:val="00E92EEF"/>
    <w:rsid w:val="00EA46AB"/>
    <w:rsid w:val="00EC37F4"/>
    <w:rsid w:val="00EF2368"/>
    <w:rsid w:val="00EF6114"/>
    <w:rsid w:val="00F02965"/>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2EFAD-185B-4F5D-96BB-BAC2DB24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11</Pages>
  <Words>3170</Words>
  <Characters>17736</Characters>
  <Application>Microsoft Office Word</Application>
  <DocSecurity>0</DocSecurity>
  <Lines>429</Lines>
  <Paragraphs>89</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20933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(May 10, 2017) - South Carolina Legislature Online</dc:title>
  <dc:creator>%USERNAME%</dc:creator>
  <cp:lastModifiedBy>Lavarres Lynch</cp:lastModifiedBy>
  <cp:revision>2</cp:revision>
  <cp:lastPrinted>2017-04-05T00:14:00Z</cp:lastPrinted>
  <dcterms:created xsi:type="dcterms:W3CDTF">2017-05-10T16:16:00Z</dcterms:created>
  <dcterms:modified xsi:type="dcterms:W3CDTF">2017-05-10T16:16:00Z</dcterms:modified>
</cp:coreProperties>
</file>