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3C50" w:rsidRDefault="00473C50" w:rsidP="00473C50">
      <w:pPr>
        <w:widowControl w:val="0"/>
        <w:jc w:val="center"/>
      </w:pPr>
      <w:r w:rsidRPr="00473C50">
        <w:rPr>
          <w:b/>
        </w:rPr>
        <w:t>South Carolina General Assembly</w:t>
      </w:r>
    </w:p>
    <w:p w:rsidR="00473C50" w:rsidRDefault="00473C50" w:rsidP="00473C50">
      <w:pPr>
        <w:widowControl w:val="0"/>
        <w:jc w:val="center"/>
      </w:pPr>
      <w:r>
        <w:t>123rd Session, 2019-2020</w:t>
      </w:r>
    </w:p>
    <w:p w:rsidR="00473C50" w:rsidRDefault="00473C50" w:rsidP="00473C50">
      <w:pPr>
        <w:widowControl w:val="0"/>
      </w:pPr>
    </w:p>
    <w:p w:rsidR="00473C50" w:rsidRDefault="00473C50" w:rsidP="00473C50">
      <w:pPr>
        <w:widowControl w:val="0"/>
        <w:rPr>
          <w:b/>
        </w:rPr>
      </w:pPr>
      <w:r w:rsidRPr="00473C50">
        <w:rPr>
          <w:b/>
        </w:rPr>
        <w:t>S.</w:t>
      </w:r>
      <w:r>
        <w:rPr>
          <w:b/>
        </w:rPr>
        <w:t xml:space="preserve"> </w:t>
      </w:r>
      <w:r w:rsidRPr="00473C50">
        <w:rPr>
          <w:b/>
        </w:rPr>
        <w:t>29</w:t>
      </w:r>
    </w:p>
    <w:p w:rsidR="00473C50" w:rsidRDefault="00473C50" w:rsidP="00473C50">
      <w:pPr>
        <w:widowControl w:val="0"/>
        <w:rPr>
          <w:b/>
        </w:rPr>
      </w:pPr>
    </w:p>
    <w:p w:rsidR="00473C50" w:rsidRDefault="00473C50" w:rsidP="00473C50">
      <w:pPr>
        <w:widowControl w:val="0"/>
      </w:pPr>
      <w:r w:rsidRPr="00473C50">
        <w:rPr>
          <w:b/>
        </w:rPr>
        <w:t>STATUS INFORMATION</w:t>
      </w:r>
    </w:p>
    <w:p w:rsidR="00473C50" w:rsidRDefault="00473C50" w:rsidP="00473C50">
      <w:pPr>
        <w:widowControl w:val="0"/>
      </w:pPr>
    </w:p>
    <w:p w:rsidR="00473C50" w:rsidRDefault="00473C50" w:rsidP="00473C50">
      <w:pPr>
        <w:widowControl w:val="0"/>
      </w:pPr>
      <w:r>
        <w:t>General Bill</w:t>
      </w:r>
    </w:p>
    <w:p w:rsidR="00473C50" w:rsidRDefault="002452CE" w:rsidP="00473C50">
      <w:pPr>
        <w:widowControl w:val="0"/>
      </w:pPr>
      <w:r>
        <w:t>Sponsors: Senators Grooms and Verdin</w:t>
      </w:r>
    </w:p>
    <w:p w:rsidR="00473C50" w:rsidRDefault="00473C50" w:rsidP="00473C50">
      <w:pPr>
        <w:widowControl w:val="0"/>
      </w:pPr>
      <w:r>
        <w:t>Document Path: l:\s-res\lkg\005fore.kmm.lkg.docx</w:t>
      </w:r>
    </w:p>
    <w:p w:rsidR="00222F4C" w:rsidRDefault="00222F4C" w:rsidP="00473C50">
      <w:pPr>
        <w:widowControl w:val="0"/>
      </w:pPr>
      <w:r>
        <w:t>Companion/Similar bill(s): 4767</w:t>
      </w:r>
    </w:p>
    <w:p w:rsidR="00473C50" w:rsidRDefault="00473C50" w:rsidP="00473C50">
      <w:pPr>
        <w:widowControl w:val="0"/>
      </w:pPr>
    </w:p>
    <w:p w:rsidR="009B0D95" w:rsidRDefault="009B0D95" w:rsidP="00473C50">
      <w:pPr>
        <w:widowControl w:val="0"/>
      </w:pPr>
      <w:r>
        <w:t>Introduced in the Senate on January 8, 2019</w:t>
      </w:r>
    </w:p>
    <w:p w:rsidR="009B0D95" w:rsidRPr="009B0D95" w:rsidRDefault="009B0D95" w:rsidP="00473C50">
      <w:pPr>
        <w:widowControl w:val="0"/>
      </w:pPr>
      <w:r>
        <w:t xml:space="preserve">Currently residing in the Senate Committee on </w:t>
      </w:r>
      <w:r w:rsidRPr="009B0D95">
        <w:rPr>
          <w:b/>
        </w:rPr>
        <w:t>Judiciary</w:t>
      </w:r>
    </w:p>
    <w:p w:rsidR="009B0D95" w:rsidRDefault="009B0D95" w:rsidP="00473C50">
      <w:pPr>
        <w:widowControl w:val="0"/>
      </w:pPr>
    </w:p>
    <w:p w:rsidR="00473C50" w:rsidRDefault="00473C50" w:rsidP="00473C50">
      <w:pPr>
        <w:widowControl w:val="0"/>
      </w:pPr>
      <w:r>
        <w:t xml:space="preserve">Summary: </w:t>
      </w:r>
      <w:r w:rsidR="001B53D7">
        <w:t>Courts and foreign law</w:t>
      </w:r>
    </w:p>
    <w:p w:rsidR="00473C50" w:rsidRDefault="00473C50" w:rsidP="00473C50">
      <w:pPr>
        <w:widowControl w:val="0"/>
      </w:pPr>
    </w:p>
    <w:p w:rsidR="00473C50" w:rsidRDefault="00473C50" w:rsidP="00473C50">
      <w:pPr>
        <w:widowControl w:val="0"/>
      </w:pPr>
    </w:p>
    <w:p w:rsidR="00473C50" w:rsidRDefault="00473C50" w:rsidP="00473C50">
      <w:pPr>
        <w:widowControl w:val="0"/>
        <w:tabs>
          <w:tab w:val="center" w:pos="590"/>
          <w:tab w:val="center" w:pos="1440"/>
          <w:tab w:val="left" w:pos="1872"/>
          <w:tab w:val="left" w:pos="9187"/>
        </w:tabs>
      </w:pPr>
      <w:r w:rsidRPr="00473C50">
        <w:rPr>
          <w:b/>
        </w:rPr>
        <w:t>HISTORY OF LEGISLATIVE ACTIONS</w:t>
      </w:r>
    </w:p>
    <w:p w:rsidR="00473C50" w:rsidRDefault="00473C50" w:rsidP="00473C50">
      <w:pPr>
        <w:widowControl w:val="0"/>
        <w:tabs>
          <w:tab w:val="center" w:pos="590"/>
          <w:tab w:val="center" w:pos="1440"/>
          <w:tab w:val="left" w:pos="1872"/>
          <w:tab w:val="left" w:pos="9187"/>
        </w:tabs>
      </w:pPr>
    </w:p>
    <w:p w:rsidR="00473C50" w:rsidRPr="00473C50" w:rsidRDefault="00473C50" w:rsidP="00473C50">
      <w:pPr>
        <w:widowControl w:val="0"/>
        <w:tabs>
          <w:tab w:val="center" w:pos="590"/>
          <w:tab w:val="center" w:pos="1440"/>
          <w:tab w:val="left" w:pos="1872"/>
          <w:tab w:val="left" w:pos="9187"/>
        </w:tabs>
      </w:pPr>
      <w:r w:rsidRPr="00473C50">
        <w:rPr>
          <w:u w:val="single"/>
        </w:rPr>
        <w:tab/>
        <w:t>Date</w:t>
      </w:r>
      <w:r w:rsidRPr="00473C50">
        <w:rPr>
          <w:u w:val="single"/>
        </w:rPr>
        <w:tab/>
        <w:t>Body</w:t>
      </w:r>
      <w:r w:rsidRPr="00473C50">
        <w:rPr>
          <w:u w:val="single"/>
        </w:rPr>
        <w:tab/>
        <w:t>Action Description with journal page number</w:t>
      </w:r>
      <w:r w:rsidRPr="00473C50">
        <w:rPr>
          <w:u w:val="single"/>
        </w:rPr>
        <w:tab/>
      </w:r>
    </w:p>
    <w:p w:rsidR="002345AE" w:rsidRDefault="002345AE" w:rsidP="002345AE">
      <w:pPr>
        <w:widowControl w:val="0"/>
        <w:tabs>
          <w:tab w:val="right" w:pos="1008"/>
          <w:tab w:val="left" w:pos="1152"/>
          <w:tab w:val="left" w:pos="1872"/>
          <w:tab w:val="left" w:pos="9187"/>
        </w:tabs>
        <w:ind w:left="2088" w:hanging="2088"/>
      </w:pPr>
      <w:r>
        <w:tab/>
        <w:t>12/12/2018</w:t>
      </w:r>
      <w:r>
        <w:tab/>
        <w:t>Senate</w:t>
      </w:r>
      <w:r>
        <w:tab/>
      </w:r>
      <w:r w:rsidRPr="00F80A9A">
        <w:t>Prefiled</w:t>
      </w:r>
    </w:p>
    <w:p w:rsidR="002345AE" w:rsidRDefault="002345AE" w:rsidP="002345AE">
      <w:pPr>
        <w:widowControl w:val="0"/>
        <w:tabs>
          <w:tab w:val="right" w:pos="1008"/>
          <w:tab w:val="left" w:pos="1152"/>
          <w:tab w:val="left" w:pos="1872"/>
          <w:tab w:val="left" w:pos="9187"/>
        </w:tabs>
        <w:ind w:left="2088" w:hanging="2088"/>
      </w:pPr>
      <w:r>
        <w:tab/>
        <w:t>12/12/2018</w:t>
      </w:r>
      <w:r>
        <w:tab/>
        <w:t>Senate</w:t>
      </w:r>
      <w:r>
        <w:tab/>
      </w:r>
      <w:r w:rsidRPr="00F80A9A">
        <w:t xml:space="preserve">Referred to Committee on </w:t>
      </w:r>
      <w:r w:rsidRPr="00F80A9A">
        <w:rPr>
          <w:b/>
        </w:rPr>
        <w:t>Judiciary</w:t>
      </w:r>
    </w:p>
    <w:p w:rsidR="002345AE" w:rsidRDefault="002345AE" w:rsidP="002345AE">
      <w:pPr>
        <w:widowControl w:val="0"/>
        <w:tabs>
          <w:tab w:val="right" w:pos="1008"/>
          <w:tab w:val="left" w:pos="1152"/>
          <w:tab w:val="left" w:pos="1872"/>
          <w:tab w:val="left" w:pos="9187"/>
        </w:tabs>
        <w:ind w:left="2088" w:hanging="2088"/>
      </w:pPr>
      <w:r>
        <w:tab/>
        <w:t>1/8/2019</w:t>
      </w:r>
      <w:r>
        <w:tab/>
        <w:t>Senate</w:t>
      </w:r>
      <w:r>
        <w:tab/>
      </w:r>
      <w:r w:rsidRPr="00F80A9A">
        <w:t>Introduced and read first time (</w:t>
      </w:r>
      <w:hyperlink r:id="rId6" w:history="1">
        <w:r w:rsidRPr="00F80A9A">
          <w:rPr>
            <w:rStyle w:val="Hyperlink"/>
          </w:rPr>
          <w:t>Senate Journal</w:t>
        </w:r>
        <w:r w:rsidRPr="00F80A9A">
          <w:rPr>
            <w:rStyle w:val="Hyperlink"/>
          </w:rPr>
          <w:noBreakHyphen/>
          <w:t>page 51</w:t>
        </w:r>
      </w:hyperlink>
      <w:r w:rsidRPr="00F80A9A">
        <w:t>)</w:t>
      </w:r>
    </w:p>
    <w:p w:rsidR="002345AE" w:rsidRDefault="002345AE" w:rsidP="002345AE">
      <w:pPr>
        <w:widowControl w:val="0"/>
        <w:tabs>
          <w:tab w:val="right" w:pos="1008"/>
          <w:tab w:val="left" w:pos="1152"/>
          <w:tab w:val="left" w:pos="1872"/>
          <w:tab w:val="left" w:pos="9187"/>
        </w:tabs>
        <w:ind w:left="2088" w:hanging="2088"/>
      </w:pPr>
      <w:r>
        <w:tab/>
        <w:t>1/8/2019</w:t>
      </w:r>
      <w:r>
        <w:tab/>
        <w:t>Senate</w:t>
      </w:r>
      <w:r>
        <w:tab/>
      </w:r>
      <w:r w:rsidRPr="00F80A9A">
        <w:t>Ref</w:t>
      </w:r>
      <w:r>
        <w:t xml:space="preserve">erred to Committee on </w:t>
      </w:r>
      <w:r w:rsidRPr="00F80A9A">
        <w:rPr>
          <w:b/>
        </w:rPr>
        <w:t>Judiciary</w:t>
      </w:r>
      <w:r>
        <w:t xml:space="preserve"> </w:t>
      </w:r>
      <w:r w:rsidRPr="00F80A9A">
        <w:t>(</w:t>
      </w:r>
      <w:hyperlink r:id="rId7" w:history="1">
        <w:r w:rsidRPr="00F80A9A">
          <w:rPr>
            <w:rStyle w:val="Hyperlink"/>
          </w:rPr>
          <w:t>Senate Journal</w:t>
        </w:r>
        <w:r w:rsidRPr="00F80A9A">
          <w:rPr>
            <w:rStyle w:val="Hyperlink"/>
          </w:rPr>
          <w:noBreakHyphen/>
          <w:t>page 51</w:t>
        </w:r>
      </w:hyperlink>
      <w:r w:rsidRPr="00F80A9A">
        <w:t>)</w:t>
      </w:r>
    </w:p>
    <w:p w:rsidR="002345AE" w:rsidRDefault="002345AE" w:rsidP="002345AE">
      <w:pPr>
        <w:widowControl w:val="0"/>
        <w:tabs>
          <w:tab w:val="right" w:pos="1008"/>
          <w:tab w:val="left" w:pos="1152"/>
          <w:tab w:val="left" w:pos="1872"/>
          <w:tab w:val="left" w:pos="9187"/>
        </w:tabs>
        <w:ind w:left="2088" w:hanging="2088"/>
      </w:pPr>
    </w:p>
    <w:p w:rsidR="00473C50" w:rsidRDefault="00473C50" w:rsidP="00473C5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73C50">
          <w:rPr>
            <w:rStyle w:val="Hyperlink"/>
          </w:rPr>
          <w:t>legislative information</w:t>
        </w:r>
      </w:hyperlink>
      <w:r>
        <w:t xml:space="preserve"> at the website</w:t>
      </w:r>
    </w:p>
    <w:p w:rsidR="00473C50" w:rsidRDefault="00473C50" w:rsidP="00473C50">
      <w:pPr>
        <w:widowControl w:val="0"/>
        <w:tabs>
          <w:tab w:val="right" w:pos="1008"/>
          <w:tab w:val="left" w:pos="1152"/>
          <w:tab w:val="left" w:pos="1872"/>
          <w:tab w:val="left" w:pos="9187"/>
        </w:tabs>
        <w:ind w:left="2088" w:hanging="2088"/>
      </w:pPr>
    </w:p>
    <w:p w:rsidR="00473C50" w:rsidRPr="00473C50" w:rsidRDefault="00473C50" w:rsidP="00473C50">
      <w:pPr>
        <w:widowControl w:val="0"/>
        <w:tabs>
          <w:tab w:val="right" w:pos="1008"/>
          <w:tab w:val="left" w:pos="1152"/>
          <w:tab w:val="left" w:pos="1872"/>
          <w:tab w:val="left" w:pos="9187"/>
        </w:tabs>
        <w:ind w:left="2088" w:hanging="2088"/>
      </w:pPr>
    </w:p>
    <w:p w:rsidR="00473C50" w:rsidRDefault="00473C50" w:rsidP="00473C50">
      <w:pPr>
        <w:widowControl w:val="0"/>
      </w:pPr>
      <w:r w:rsidRPr="00473C50">
        <w:rPr>
          <w:b/>
        </w:rPr>
        <w:t>VERSIONS OF THIS BILL</w:t>
      </w:r>
    </w:p>
    <w:p w:rsidR="00473C50" w:rsidRDefault="00473C50" w:rsidP="00473C50">
      <w:pPr>
        <w:widowControl w:val="0"/>
      </w:pPr>
    </w:p>
    <w:p w:rsidR="00473C50" w:rsidRDefault="00480000" w:rsidP="00473C50">
      <w:pPr>
        <w:widowControl w:val="0"/>
      </w:pPr>
      <w:hyperlink r:id="rId9" w:history="1">
        <w:r w:rsidR="00473C50">
          <w:rPr>
            <w:rStyle w:val="Hyperlink"/>
          </w:rPr>
          <w:t>12/12/2018</w:t>
        </w:r>
      </w:hyperlink>
    </w:p>
    <w:p w:rsidR="00473C50" w:rsidRDefault="00473C50" w:rsidP="00473C50"/>
    <w:p w:rsidR="00473C50" w:rsidRDefault="00473C50" w:rsidP="00473C50">
      <w:pPr>
        <w:sectPr w:rsidR="00473C50" w:rsidSect="00473C50">
          <w:pgSz w:w="12240" w:h="15840" w:code="1"/>
          <w:pgMar w:top="1080" w:right="1440" w:bottom="1080" w:left="1440" w:header="720" w:footer="720" w:gutter="0"/>
          <w:cols w:space="720"/>
          <w:noEndnote/>
          <w:docGrid w:linePitch="360"/>
        </w:sectPr>
      </w:pPr>
    </w:p>
    <w:p w:rsidR="005C4C9A" w:rsidRPr="00522CE0" w:rsidRDefault="005C4C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4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846C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373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CHAPTER 1, TITLE 14 OF THE 1976 CODE, </w:t>
      </w:r>
      <w:r w:rsidR="00683524">
        <w:t xml:space="preserve">RELATING TO THE COURTS, </w:t>
      </w:r>
      <w:r>
        <w:t>BY ADDING SECTION 14</w:t>
      </w:r>
      <w:r w:rsidR="00A27583">
        <w:noBreakHyphen/>
      </w:r>
      <w:r>
        <w:t>1</w:t>
      </w:r>
      <w:r w:rsidR="00A27583">
        <w:noBreakHyphen/>
      </w:r>
      <w:r>
        <w:t>250, TO PREVENT A COURT OR OTHER ENFORCEMENT AUTHORITY FROM ENFORCING FOREIGN LAW IN THIS STATE FROM A FORUM OUTSIDE OF THE UNITED STATES OR ITS TERRITORIES UNDER CERTAIN CIRCUMSTANCES.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846CA" w:rsidRDefault="00784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46CA" w:rsidRDefault="00784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73C4" w:rsidRPr="009373C4" w:rsidRDefault="007846CA" w:rsidP="0093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373C4" w:rsidRPr="009373C4">
        <w:rPr>
          <w:rFonts w:eastAsia="Times New Roman"/>
        </w:rPr>
        <w:t>The General Assembly finds that it is necessary to protect the residents of the State from the application of foreign law from a forum outside of the United States or its territories if that application will result in the violation of a constitutionally guaranteed right, including, but not limited to, the right to due process, freedom of religion, freedom of speech, freedom of the press, or any right of privacy or marriage as specifically delineated in the Constitution of this State or of the United States.</w:t>
      </w:r>
    </w:p>
    <w:p w:rsidR="009373C4" w:rsidRPr="009373C4" w:rsidRDefault="009373C4" w:rsidP="0093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73C4" w:rsidRPr="009373C4" w:rsidRDefault="009373C4" w:rsidP="0093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373C4">
        <w:rPr>
          <w:rFonts w:eastAsia="Times New Roman"/>
        </w:rPr>
        <w:t>SECTION</w:t>
      </w:r>
      <w:r w:rsidRPr="009373C4">
        <w:rPr>
          <w:rFonts w:eastAsia="Times New Roman"/>
        </w:rPr>
        <w:tab/>
        <w:t>2.</w:t>
      </w:r>
      <w:r w:rsidRPr="009373C4">
        <w:rPr>
          <w:rFonts w:eastAsia="Times New Roman"/>
        </w:rPr>
        <w:tab/>
        <w:t>Chapter 1, Title 14 of the 1976 Code is amended by adding:</w:t>
      </w:r>
    </w:p>
    <w:p w:rsidR="009373C4" w:rsidRPr="009373C4" w:rsidRDefault="009373C4" w:rsidP="0093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73C4" w:rsidRPr="009373C4" w:rsidRDefault="009373C4" w:rsidP="0093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373C4">
        <w:rPr>
          <w:rFonts w:eastAsia="Times New Roman"/>
        </w:rPr>
        <w:tab/>
        <w:t>“Section 14</w:t>
      </w:r>
      <w:r w:rsidR="00A27583">
        <w:rPr>
          <w:rFonts w:eastAsia="Times New Roman"/>
        </w:rPr>
        <w:noBreakHyphen/>
      </w:r>
      <w:r w:rsidRPr="009373C4">
        <w:rPr>
          <w:rFonts w:eastAsia="Times New Roman"/>
        </w:rPr>
        <w:t>1</w:t>
      </w:r>
      <w:r w:rsidR="00A27583">
        <w:rPr>
          <w:rFonts w:eastAsia="Times New Roman"/>
        </w:rPr>
        <w:noBreakHyphen/>
      </w:r>
      <w:r w:rsidRPr="009373C4">
        <w:rPr>
          <w:rFonts w:eastAsia="Times New Roman"/>
        </w:rPr>
        <w:t>250.</w:t>
      </w:r>
      <w:r w:rsidRPr="009373C4">
        <w:rPr>
          <w:rFonts w:eastAsia="Times New Roman"/>
        </w:rPr>
        <w:tab/>
        <w:t>(A)</w:t>
      </w:r>
      <w:r w:rsidRPr="009373C4">
        <w:rPr>
          <w:rFonts w:eastAsia="Times New Roman"/>
        </w:rPr>
        <w:tab/>
        <w:t>As used in this section, the term ‘foreign law’ means any law, rule, or legal code or system established and used or applied in or by another jurisdiction outside of the United States or its territories.</w:t>
      </w:r>
    </w:p>
    <w:p w:rsidR="009373C4" w:rsidRPr="009373C4" w:rsidRDefault="009373C4" w:rsidP="0093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373C4">
        <w:rPr>
          <w:rFonts w:eastAsia="Times New Roman"/>
        </w:rPr>
        <w:tab/>
        <w:t>(B)</w:t>
      </w:r>
      <w:r w:rsidRPr="009373C4">
        <w:rPr>
          <w:rFonts w:eastAsia="Times New Roman"/>
        </w:rPr>
        <w:tab/>
        <w:t xml:space="preserve">A court, arbitrator, administrative agency, or other adjudicative, mediation, or enforcement authority may not enforce a foreign law if it would violate a constitutionally guaranteed right of this State or of the United States. The provisions of this section </w:t>
      </w:r>
      <w:r w:rsidRPr="009373C4">
        <w:rPr>
          <w:rFonts w:eastAsia="Times New Roman"/>
        </w:rPr>
        <w:lastRenderedPageBreak/>
        <w:t>apply only to actual or foreseeable violations of the constitutional rights of a person caused by the application of the foreign law.</w:t>
      </w:r>
    </w:p>
    <w:p w:rsidR="009373C4" w:rsidRPr="009373C4" w:rsidRDefault="009373C4" w:rsidP="0093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373C4">
        <w:rPr>
          <w:rFonts w:eastAsia="Times New Roman"/>
        </w:rPr>
        <w:tab/>
        <w:t>(C)</w:t>
      </w:r>
      <w:r w:rsidRPr="009373C4">
        <w:rPr>
          <w:rFonts w:eastAsia="Times New Roman"/>
        </w:rPr>
        <w:tab/>
        <w:t>Notwithstanding another provision of law, if any contractual provision or agreement:</w:t>
      </w:r>
    </w:p>
    <w:p w:rsidR="009373C4" w:rsidRPr="009373C4" w:rsidRDefault="009373C4" w:rsidP="0093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373C4">
        <w:rPr>
          <w:rFonts w:eastAsia="Times New Roman"/>
        </w:rPr>
        <w:tab/>
      </w:r>
      <w:r w:rsidRPr="009373C4">
        <w:rPr>
          <w:rFonts w:eastAsia="Times New Roman"/>
        </w:rPr>
        <w:tab/>
        <w:t>(1)</w:t>
      </w:r>
      <w:r w:rsidRPr="009373C4">
        <w:rPr>
          <w:rFonts w:eastAsia="Times New Roman"/>
        </w:rPr>
        <w:tab/>
        <w:t>provides for the choice of a foreign law to govern its interpretation or the resolution of a dispute between the parties and if the enforcement or interpretation of the contractual provision or agreement would result in a violation of the constitutional rights of a person, then the contractual provision or agreement must be modified or amended to the extent necessary to preserve the constitutional rights of the parties;</w:t>
      </w:r>
    </w:p>
    <w:p w:rsidR="009373C4" w:rsidRPr="009373C4" w:rsidRDefault="009373C4" w:rsidP="0093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373C4">
        <w:rPr>
          <w:rFonts w:eastAsia="Times New Roman"/>
        </w:rPr>
        <w:tab/>
      </w:r>
      <w:r w:rsidRPr="009373C4">
        <w:rPr>
          <w:rFonts w:eastAsia="Times New Roman"/>
        </w:rPr>
        <w:tab/>
        <w:t>(2)</w:t>
      </w:r>
      <w:r w:rsidRPr="009373C4">
        <w:rPr>
          <w:rFonts w:eastAsia="Times New Roman"/>
        </w:rPr>
        <w:tab/>
        <w:t xml:space="preserve">provides for the choice of </w:t>
      </w:r>
      <w:r w:rsidR="00683524">
        <w:rPr>
          <w:rFonts w:eastAsia="Times New Roman"/>
        </w:rPr>
        <w:t xml:space="preserve">a </w:t>
      </w:r>
      <w:r w:rsidRPr="009373C4">
        <w:rPr>
          <w:rFonts w:eastAsia="Times New Roman"/>
        </w:rPr>
        <w:t xml:space="preserve">venue or forum outside of the United States or its territories and if the enforcement or interpretation of the contractual provision or agreement applying the choice of </w:t>
      </w:r>
      <w:r w:rsidR="00DB076D">
        <w:rPr>
          <w:rFonts w:eastAsia="Times New Roman"/>
        </w:rPr>
        <w:t xml:space="preserve">a </w:t>
      </w:r>
      <w:r w:rsidRPr="009373C4">
        <w:rPr>
          <w:rFonts w:eastAsia="Times New Roman"/>
        </w:rPr>
        <w:t>venue or forum would result in a violation of the constitutional rights of a person, then the contractual provision or agreement must be interpreted to preserve the constitutional rights of the person against whom enforcement is sought. In addition, if a natural person subject to personal jurisdiction in this State seeks to maintain litigation, arbitration, agency, or similarly binding proceedings in this State and if a court of this State finds that granting a claim of forum non conveniens or a related claim violates or would likely lead to the violation of the constitutional rights of a nonclaimant in the foreign forum with respect to the matter in dispute, then the claim must be denied;</w:t>
      </w:r>
      <w:r w:rsidR="00683524">
        <w:rPr>
          <w:rFonts w:eastAsia="Times New Roman"/>
        </w:rPr>
        <w:t xml:space="preserve"> or</w:t>
      </w:r>
    </w:p>
    <w:p w:rsidR="007846CA" w:rsidRDefault="009373C4" w:rsidP="00937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373C4">
        <w:rPr>
          <w:rFonts w:eastAsia="Times New Roman"/>
        </w:rPr>
        <w:tab/>
      </w:r>
      <w:r w:rsidRPr="009373C4">
        <w:rPr>
          <w:rFonts w:eastAsia="Times New Roman"/>
        </w:rPr>
        <w:tab/>
        <w:t>(3)</w:t>
      </w:r>
      <w:r w:rsidRPr="009373C4">
        <w:rPr>
          <w:rFonts w:eastAsia="Times New Roman"/>
        </w:rPr>
        <w:tab/>
        <w:t>is incapable of modification or amendment to preserve the constitutional rights of the parties pursuant to the provisions of this section, then the offending provision is null and void.”</w:t>
      </w:r>
    </w:p>
    <w:p w:rsidR="007846CA" w:rsidRDefault="00784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46CA" w:rsidRPr="00522CE0" w:rsidRDefault="007846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373C4">
        <w:rPr>
          <w:rFonts w:eastAsia="Times New Roman"/>
        </w:rPr>
        <w:t>3</w:t>
      </w:r>
      <w:r>
        <w:rPr>
          <w:rFonts w:eastAsia="Times New Roman"/>
        </w:rPr>
        <w:t>.</w:t>
      </w:r>
      <w:r>
        <w:rPr>
          <w:rFonts w:eastAsia="Times New Roman"/>
        </w:rPr>
        <w:tab/>
        <w:t>This act takes effect upon approval by the Governor.</w:t>
      </w:r>
    </w:p>
    <w:p w:rsidR="00E6711E" w:rsidRDefault="00A2758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73C50" w:rsidRDefault="00473C50" w:rsidP="00473C50">
      <w:pPr>
        <w:suppressAutoHyphens/>
        <w:jc w:val="both"/>
        <w:rPr>
          <w:rFonts w:eastAsia="Times New Roman"/>
        </w:rPr>
      </w:pPr>
    </w:p>
    <w:sectPr w:rsidR="00473C50" w:rsidSect="00473C5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46CA" w:rsidRDefault="007846CA" w:rsidP="00522CE0">
      <w:r>
        <w:separator/>
      </w:r>
    </w:p>
  </w:endnote>
  <w:endnote w:type="continuationSeparator" w:id="0">
    <w:p w:rsidR="007846CA" w:rsidRDefault="007846C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2DCD149-21B9-4FD6-BF66-B046553F7CAF}"/>
    <w:embedBold r:id="rId2" w:fontKey="{1B1EDFF2-D5CF-45B4-9FCC-D98878346B64}"/>
  </w:font>
  <w:font w:name="Calibri">
    <w:panose1 w:val="020F0502020204030204"/>
    <w:charset w:val="00"/>
    <w:family w:val="swiss"/>
    <w:pitch w:val="variable"/>
    <w:sig w:usb0="E0002EFF" w:usb1="C000247B" w:usb2="00000009" w:usb3="00000000" w:csb0="000001FF" w:csb1="00000000"/>
    <w:embedRegular r:id="rId3" w:fontKey="{02C76AAE-719F-42AA-8688-C20A46AFD563}"/>
    <w:embedBold r:id="rId4" w:fontKey="{0A5DD5A1-6C77-4DB8-956B-440B12ADDD2E}"/>
  </w:font>
  <w:font w:name="Cambria">
    <w:panose1 w:val="02040503050406030204"/>
    <w:charset w:val="00"/>
    <w:family w:val="roman"/>
    <w:pitch w:val="variable"/>
    <w:sig w:usb0="E00006FF" w:usb1="420024FF" w:usb2="02000000" w:usb3="00000000" w:csb0="0000019F" w:csb1="00000000"/>
    <w:embedRegular r:id="rId5" w:fontKey="{644E8862-67D5-43F7-84AD-7533FA3601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C50" w:rsidRPr="005C4C9A" w:rsidRDefault="00473C50" w:rsidP="005C4C9A">
    <w:pPr>
      <w:pStyle w:val="Footer"/>
      <w:tabs>
        <w:tab w:val="clear" w:pos="4680"/>
        <w:tab w:val="clear" w:pos="9360"/>
        <w:tab w:val="center" w:pos="2995"/>
      </w:tabs>
      <w:spacing w:before="120"/>
    </w:pPr>
    <w:r>
      <w:t>[29]</w:t>
    </w:r>
    <w:r>
      <w:tab/>
    </w:r>
    <w:r>
      <w:fldChar w:fldCharType="begin"/>
    </w:r>
    <w:r>
      <w:instrText xml:space="preserve"> PAGE  \* MERGEFORMAT </w:instrText>
    </w:r>
    <w:r>
      <w:fldChar w:fldCharType="separate"/>
    </w:r>
    <w:r w:rsidR="00222F4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46CA" w:rsidRDefault="007846CA" w:rsidP="00522CE0">
      <w:r>
        <w:separator/>
      </w:r>
    </w:p>
  </w:footnote>
  <w:footnote w:type="continuationSeparator" w:id="0">
    <w:p w:rsidR="007846CA" w:rsidRDefault="007846C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FORE.KMM.LKG"/>
    <w:docVar w:name="CoverAttorneyInitials" w:val="KMM"/>
    <w:docVar w:name="CoverAttorneyLastName" w:val="Moffitt"/>
    <w:docVar w:name="CoverBillType" w:val="b"/>
    <w:docVar w:name="CoverSenator" w:val="LKG"/>
    <w:docVar w:name="dvBillNumber" w:val="29"/>
    <w:docVar w:name="dvBillNumberPrefix" w:val="S. "/>
    <w:docVar w:name="dvOriginalBody" w:val="Senate"/>
    <w:docVar w:name="fulldraftpath" w:val="L:\S-RES\LKG\005FORE.KMM.LKG.DOCX"/>
    <w:docVar w:name="NameofBody" w:val="S"/>
    <w:docVar w:name="vgroup2" w:val="S-RES"/>
  </w:docVars>
  <w:rsids>
    <w:rsidRoot w:val="007846CA"/>
    <w:rsid w:val="00042AC1"/>
    <w:rsid w:val="00046516"/>
    <w:rsid w:val="00072458"/>
    <w:rsid w:val="0007601D"/>
    <w:rsid w:val="000B0720"/>
    <w:rsid w:val="000B5EAF"/>
    <w:rsid w:val="001315B2"/>
    <w:rsid w:val="00170561"/>
    <w:rsid w:val="00186AC9"/>
    <w:rsid w:val="00197DF1"/>
    <w:rsid w:val="001B3DD9"/>
    <w:rsid w:val="001B53D7"/>
    <w:rsid w:val="001B7E5D"/>
    <w:rsid w:val="001D3BAC"/>
    <w:rsid w:val="00216025"/>
    <w:rsid w:val="00222F4C"/>
    <w:rsid w:val="002345AE"/>
    <w:rsid w:val="002452CE"/>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73C50"/>
    <w:rsid w:val="004813A2"/>
    <w:rsid w:val="004952FA"/>
    <w:rsid w:val="004B6A22"/>
    <w:rsid w:val="004D7F37"/>
    <w:rsid w:val="00522CE0"/>
    <w:rsid w:val="00541951"/>
    <w:rsid w:val="00565148"/>
    <w:rsid w:val="00570403"/>
    <w:rsid w:val="00593361"/>
    <w:rsid w:val="005A413B"/>
    <w:rsid w:val="005A5017"/>
    <w:rsid w:val="005A648C"/>
    <w:rsid w:val="005C4C9A"/>
    <w:rsid w:val="005F07AC"/>
    <w:rsid w:val="005F1745"/>
    <w:rsid w:val="00683524"/>
    <w:rsid w:val="006A1802"/>
    <w:rsid w:val="006C0CBB"/>
    <w:rsid w:val="006C74EA"/>
    <w:rsid w:val="00720D40"/>
    <w:rsid w:val="007318D4"/>
    <w:rsid w:val="00765784"/>
    <w:rsid w:val="007846CA"/>
    <w:rsid w:val="007A4390"/>
    <w:rsid w:val="007E5CB7"/>
    <w:rsid w:val="008314D2"/>
    <w:rsid w:val="00870F6F"/>
    <w:rsid w:val="008B2F42"/>
    <w:rsid w:val="008C3697"/>
    <w:rsid w:val="008E185F"/>
    <w:rsid w:val="008F023B"/>
    <w:rsid w:val="00904E16"/>
    <w:rsid w:val="009162B3"/>
    <w:rsid w:val="00927C62"/>
    <w:rsid w:val="009373C4"/>
    <w:rsid w:val="00983951"/>
    <w:rsid w:val="00984124"/>
    <w:rsid w:val="00984640"/>
    <w:rsid w:val="00995C37"/>
    <w:rsid w:val="009B0D95"/>
    <w:rsid w:val="009C118A"/>
    <w:rsid w:val="00A02011"/>
    <w:rsid w:val="00A27583"/>
    <w:rsid w:val="00A4011E"/>
    <w:rsid w:val="00A86015"/>
    <w:rsid w:val="00A873B3"/>
    <w:rsid w:val="00A9594E"/>
    <w:rsid w:val="00AE59C8"/>
    <w:rsid w:val="00B10098"/>
    <w:rsid w:val="00B154A1"/>
    <w:rsid w:val="00B52E24"/>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076D"/>
    <w:rsid w:val="00DE5635"/>
    <w:rsid w:val="00E01883"/>
    <w:rsid w:val="00E058D3"/>
    <w:rsid w:val="00E11C73"/>
    <w:rsid w:val="00E12CA0"/>
    <w:rsid w:val="00E2236D"/>
    <w:rsid w:val="00E6711E"/>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36F56E97-BBB7-486B-BBD3-650315C4B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73C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9&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29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3</Pages>
  <Words>725</Words>
  <Characters>3580</Characters>
  <Application>Microsoft Office Word</Application>
  <DocSecurity>0</DocSecurity>
  <Lines>149</Lines>
  <Paragraphs>62</Paragraphs>
  <ScaleCrop>false</ScaleCrop>
  <Company> </Company>
  <LinksUpToDate>false</LinksUpToDate>
  <CharactersWithSpaces>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29: Courts and foreign law - South Carolina Legislature Online</dc:title>
  <dc:subject/>
  <dc:creator>Rebecca Landau</dc:creator>
  <cp:keywords/>
  <dc:description/>
  <cp:lastModifiedBy>S Wilson</cp:lastModifiedBy>
  <cp:revision>2</cp:revision>
  <dcterms:created xsi:type="dcterms:W3CDTF">2019-12-11T20:57:00Z</dcterms:created>
  <dcterms:modified xsi:type="dcterms:W3CDTF">2019-12-11T20:57:00Z</dcterms:modified>
</cp:coreProperties>
</file>