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DE6" w:rsidRDefault="00896DE6" w:rsidP="00896DE6">
      <w:pPr>
        <w:widowControl w:val="0"/>
        <w:jc w:val="center"/>
      </w:pPr>
      <w:r w:rsidRPr="00896DE6">
        <w:rPr>
          <w:b/>
        </w:rPr>
        <w:t>South Carolina General Assembly</w:t>
      </w:r>
    </w:p>
    <w:p w:rsidR="00896DE6" w:rsidRDefault="00896DE6" w:rsidP="00896DE6">
      <w:pPr>
        <w:widowControl w:val="0"/>
        <w:jc w:val="center"/>
      </w:pPr>
      <w:r>
        <w:t>123rd Session, 2019-2020</w:t>
      </w:r>
    </w:p>
    <w:p w:rsidR="00896DE6" w:rsidRDefault="00896DE6" w:rsidP="00896DE6">
      <w:pPr>
        <w:widowControl w:val="0"/>
      </w:pPr>
    </w:p>
    <w:p w:rsidR="00896DE6" w:rsidRDefault="00896DE6" w:rsidP="00896DE6">
      <w:pPr>
        <w:widowControl w:val="0"/>
        <w:rPr>
          <w:b/>
        </w:rPr>
      </w:pPr>
      <w:r w:rsidRPr="00896DE6">
        <w:rPr>
          <w:b/>
        </w:rPr>
        <w:t>S.</w:t>
      </w:r>
      <w:r>
        <w:rPr>
          <w:b/>
        </w:rPr>
        <w:t xml:space="preserve"> </w:t>
      </w:r>
      <w:r w:rsidRPr="00896DE6">
        <w:rPr>
          <w:b/>
        </w:rPr>
        <w:t>30</w:t>
      </w:r>
    </w:p>
    <w:p w:rsidR="00896DE6" w:rsidRDefault="00896DE6" w:rsidP="00896DE6">
      <w:pPr>
        <w:widowControl w:val="0"/>
        <w:rPr>
          <w:b/>
        </w:rPr>
      </w:pPr>
    </w:p>
    <w:p w:rsidR="00896DE6" w:rsidRDefault="00896DE6" w:rsidP="00896DE6">
      <w:pPr>
        <w:widowControl w:val="0"/>
      </w:pPr>
      <w:r w:rsidRPr="00896DE6">
        <w:rPr>
          <w:b/>
        </w:rPr>
        <w:t>STATUS INFORMATION</w:t>
      </w:r>
    </w:p>
    <w:p w:rsidR="00896DE6" w:rsidRDefault="00896DE6" w:rsidP="00896DE6">
      <w:pPr>
        <w:widowControl w:val="0"/>
      </w:pPr>
    </w:p>
    <w:p w:rsidR="00896DE6" w:rsidRDefault="00896DE6" w:rsidP="00896DE6">
      <w:pPr>
        <w:widowControl w:val="0"/>
      </w:pPr>
      <w:r>
        <w:t>Joint Resolution</w:t>
      </w:r>
    </w:p>
    <w:p w:rsidR="00896DE6" w:rsidRDefault="00896DE6" w:rsidP="00896DE6">
      <w:pPr>
        <w:widowControl w:val="0"/>
      </w:pPr>
      <w:r>
        <w:t>Sponsors: Senator Grooms</w:t>
      </w:r>
    </w:p>
    <w:p w:rsidR="00896DE6" w:rsidRDefault="00896DE6" w:rsidP="00896DE6">
      <w:pPr>
        <w:widowControl w:val="0"/>
      </w:pPr>
      <w:r>
        <w:t>Document Path: l:\s-res\lkg\003peti.kmm.lkg.docx</w:t>
      </w:r>
    </w:p>
    <w:p w:rsidR="00896DE6" w:rsidRDefault="00896DE6" w:rsidP="00896DE6">
      <w:pPr>
        <w:widowControl w:val="0"/>
      </w:pPr>
    </w:p>
    <w:p w:rsidR="00442DFF" w:rsidRDefault="00442DFF" w:rsidP="00896DE6">
      <w:pPr>
        <w:widowControl w:val="0"/>
      </w:pPr>
      <w:r>
        <w:t>Introduced in the Senate on January 8, 2019</w:t>
      </w:r>
    </w:p>
    <w:p w:rsidR="00442DFF" w:rsidRPr="00442DFF" w:rsidRDefault="00442DFF" w:rsidP="00896DE6">
      <w:pPr>
        <w:widowControl w:val="0"/>
      </w:pPr>
      <w:r>
        <w:t xml:space="preserve">Currently residing in the Senate Committee on </w:t>
      </w:r>
      <w:r w:rsidRPr="00442DFF">
        <w:rPr>
          <w:b/>
        </w:rPr>
        <w:t>Judiciary</w:t>
      </w:r>
    </w:p>
    <w:p w:rsidR="00442DFF" w:rsidRDefault="00442DFF" w:rsidP="00896DE6">
      <w:pPr>
        <w:widowControl w:val="0"/>
      </w:pPr>
    </w:p>
    <w:p w:rsidR="00896DE6" w:rsidRDefault="00896DE6" w:rsidP="00896DE6">
      <w:pPr>
        <w:widowControl w:val="0"/>
      </w:pPr>
      <w:r>
        <w:t xml:space="preserve">Summary: </w:t>
      </w:r>
      <w:r w:rsidR="000522C1">
        <w:t>Miscellaneous matters</w:t>
      </w:r>
    </w:p>
    <w:p w:rsidR="00896DE6" w:rsidRDefault="00896DE6" w:rsidP="00896DE6">
      <w:pPr>
        <w:widowControl w:val="0"/>
      </w:pPr>
    </w:p>
    <w:p w:rsidR="00896DE6" w:rsidRDefault="00896DE6" w:rsidP="00896DE6">
      <w:pPr>
        <w:widowControl w:val="0"/>
      </w:pPr>
    </w:p>
    <w:p w:rsidR="00896DE6" w:rsidRDefault="00896DE6" w:rsidP="00896DE6">
      <w:pPr>
        <w:widowControl w:val="0"/>
        <w:tabs>
          <w:tab w:val="center" w:pos="590"/>
          <w:tab w:val="center" w:pos="1440"/>
          <w:tab w:val="left" w:pos="1872"/>
          <w:tab w:val="left" w:pos="9187"/>
        </w:tabs>
      </w:pPr>
      <w:r w:rsidRPr="00896DE6">
        <w:rPr>
          <w:b/>
        </w:rPr>
        <w:t>HISTORY OF LEGISLATIVE ACTIONS</w:t>
      </w:r>
    </w:p>
    <w:p w:rsidR="00896DE6" w:rsidRDefault="00896DE6" w:rsidP="00896DE6">
      <w:pPr>
        <w:widowControl w:val="0"/>
        <w:tabs>
          <w:tab w:val="center" w:pos="590"/>
          <w:tab w:val="center" w:pos="1440"/>
          <w:tab w:val="left" w:pos="1872"/>
          <w:tab w:val="left" w:pos="9187"/>
        </w:tabs>
      </w:pPr>
    </w:p>
    <w:p w:rsidR="00896DE6" w:rsidRPr="00896DE6" w:rsidRDefault="00896DE6" w:rsidP="00896DE6">
      <w:pPr>
        <w:widowControl w:val="0"/>
        <w:tabs>
          <w:tab w:val="center" w:pos="590"/>
          <w:tab w:val="center" w:pos="1440"/>
          <w:tab w:val="left" w:pos="1872"/>
          <w:tab w:val="left" w:pos="9187"/>
        </w:tabs>
      </w:pPr>
      <w:r w:rsidRPr="00896DE6">
        <w:rPr>
          <w:u w:val="single"/>
        </w:rPr>
        <w:tab/>
        <w:t>Date</w:t>
      </w:r>
      <w:r w:rsidRPr="00896DE6">
        <w:rPr>
          <w:u w:val="single"/>
        </w:rPr>
        <w:tab/>
        <w:t>Body</w:t>
      </w:r>
      <w:r w:rsidRPr="00896DE6">
        <w:rPr>
          <w:u w:val="single"/>
        </w:rPr>
        <w:tab/>
        <w:t>Action Description with journal page number</w:t>
      </w:r>
      <w:r w:rsidRPr="00896DE6">
        <w:rPr>
          <w:u w:val="single"/>
        </w:rPr>
        <w:tab/>
      </w:r>
    </w:p>
    <w:p w:rsidR="00A9334E" w:rsidRDefault="00A9334E" w:rsidP="00A9334E">
      <w:pPr>
        <w:widowControl w:val="0"/>
        <w:tabs>
          <w:tab w:val="right" w:pos="1008"/>
          <w:tab w:val="left" w:pos="1152"/>
          <w:tab w:val="left" w:pos="1872"/>
          <w:tab w:val="left" w:pos="9187"/>
        </w:tabs>
        <w:ind w:left="2088" w:hanging="2088"/>
      </w:pPr>
      <w:r>
        <w:tab/>
        <w:t>12/12/2018</w:t>
      </w:r>
      <w:r>
        <w:tab/>
        <w:t>Senate</w:t>
      </w:r>
      <w:r>
        <w:tab/>
      </w:r>
      <w:r w:rsidRPr="009D30F7">
        <w:t>Prefiled</w:t>
      </w:r>
    </w:p>
    <w:p w:rsidR="00A9334E" w:rsidRDefault="00A9334E" w:rsidP="00A9334E">
      <w:pPr>
        <w:widowControl w:val="0"/>
        <w:tabs>
          <w:tab w:val="right" w:pos="1008"/>
          <w:tab w:val="left" w:pos="1152"/>
          <w:tab w:val="left" w:pos="1872"/>
          <w:tab w:val="left" w:pos="9187"/>
        </w:tabs>
        <w:ind w:left="2088" w:hanging="2088"/>
      </w:pPr>
      <w:r>
        <w:tab/>
        <w:t>12/12/2018</w:t>
      </w:r>
      <w:r>
        <w:tab/>
        <w:t>Senate</w:t>
      </w:r>
      <w:r>
        <w:tab/>
      </w:r>
      <w:r w:rsidRPr="009D30F7">
        <w:t xml:space="preserve">Referred to Committee on </w:t>
      </w:r>
      <w:r w:rsidRPr="009D30F7">
        <w:rPr>
          <w:b/>
        </w:rPr>
        <w:t>Judiciary</w:t>
      </w:r>
    </w:p>
    <w:p w:rsidR="00A9334E" w:rsidRDefault="00A9334E" w:rsidP="00A9334E">
      <w:pPr>
        <w:widowControl w:val="0"/>
        <w:tabs>
          <w:tab w:val="right" w:pos="1008"/>
          <w:tab w:val="left" w:pos="1152"/>
          <w:tab w:val="left" w:pos="1872"/>
          <w:tab w:val="left" w:pos="9187"/>
        </w:tabs>
        <w:ind w:left="2088" w:hanging="2088"/>
      </w:pPr>
      <w:r>
        <w:tab/>
        <w:t>1/8/2019</w:t>
      </w:r>
      <w:r>
        <w:tab/>
        <w:t>Senate</w:t>
      </w:r>
      <w:r>
        <w:tab/>
      </w:r>
      <w:r w:rsidRPr="009D30F7">
        <w:t>Introduced and read first time (</w:t>
      </w:r>
      <w:hyperlink r:id="rId6" w:history="1">
        <w:r w:rsidRPr="009D30F7">
          <w:rPr>
            <w:rStyle w:val="Hyperlink"/>
          </w:rPr>
          <w:t>Senate Journal</w:t>
        </w:r>
        <w:r w:rsidRPr="009D30F7">
          <w:rPr>
            <w:rStyle w:val="Hyperlink"/>
          </w:rPr>
          <w:noBreakHyphen/>
          <w:t>page 52</w:t>
        </w:r>
      </w:hyperlink>
      <w:r w:rsidRPr="009D30F7">
        <w:t>)</w:t>
      </w:r>
    </w:p>
    <w:p w:rsidR="00A9334E" w:rsidRDefault="00A9334E" w:rsidP="00A9334E">
      <w:pPr>
        <w:widowControl w:val="0"/>
        <w:tabs>
          <w:tab w:val="right" w:pos="1008"/>
          <w:tab w:val="left" w:pos="1152"/>
          <w:tab w:val="left" w:pos="1872"/>
          <w:tab w:val="left" w:pos="9187"/>
        </w:tabs>
        <w:ind w:left="2088" w:hanging="2088"/>
      </w:pPr>
      <w:r>
        <w:tab/>
        <w:t>1/8/2019</w:t>
      </w:r>
      <w:r>
        <w:tab/>
        <w:t>Senate</w:t>
      </w:r>
      <w:r>
        <w:tab/>
      </w:r>
      <w:r w:rsidRPr="009D30F7">
        <w:t>Ref</w:t>
      </w:r>
      <w:r>
        <w:t xml:space="preserve">erred to Committee on </w:t>
      </w:r>
      <w:r w:rsidRPr="009D30F7">
        <w:rPr>
          <w:b/>
        </w:rPr>
        <w:t>Judiciary</w:t>
      </w:r>
      <w:r>
        <w:t xml:space="preserve"> </w:t>
      </w:r>
      <w:r w:rsidRPr="009D30F7">
        <w:t>(</w:t>
      </w:r>
      <w:hyperlink r:id="rId7" w:history="1">
        <w:r w:rsidRPr="009D30F7">
          <w:rPr>
            <w:rStyle w:val="Hyperlink"/>
          </w:rPr>
          <w:t>Senate Journal</w:t>
        </w:r>
        <w:r w:rsidRPr="009D30F7">
          <w:rPr>
            <w:rStyle w:val="Hyperlink"/>
          </w:rPr>
          <w:noBreakHyphen/>
          <w:t>page 52</w:t>
        </w:r>
      </w:hyperlink>
      <w:r w:rsidRPr="009D30F7">
        <w:t>)</w:t>
      </w:r>
    </w:p>
    <w:p w:rsidR="00A9334E" w:rsidRDefault="00A9334E" w:rsidP="00A9334E">
      <w:pPr>
        <w:widowControl w:val="0"/>
        <w:tabs>
          <w:tab w:val="right" w:pos="1008"/>
          <w:tab w:val="left" w:pos="1152"/>
          <w:tab w:val="left" w:pos="1872"/>
          <w:tab w:val="left" w:pos="9187"/>
        </w:tabs>
        <w:ind w:left="2088" w:hanging="2088"/>
      </w:pPr>
    </w:p>
    <w:p w:rsidR="00896DE6" w:rsidRDefault="00896DE6" w:rsidP="00896DE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96DE6">
          <w:rPr>
            <w:rStyle w:val="Hyperlink"/>
          </w:rPr>
          <w:t>legislative information</w:t>
        </w:r>
      </w:hyperlink>
      <w:r>
        <w:t xml:space="preserve"> at the website</w:t>
      </w:r>
    </w:p>
    <w:p w:rsidR="00896DE6" w:rsidRDefault="00896DE6" w:rsidP="00896DE6">
      <w:pPr>
        <w:widowControl w:val="0"/>
        <w:tabs>
          <w:tab w:val="right" w:pos="1008"/>
          <w:tab w:val="left" w:pos="1152"/>
          <w:tab w:val="left" w:pos="1872"/>
          <w:tab w:val="left" w:pos="9187"/>
        </w:tabs>
        <w:ind w:left="2088" w:hanging="2088"/>
      </w:pPr>
    </w:p>
    <w:p w:rsidR="00896DE6" w:rsidRPr="00896DE6" w:rsidRDefault="00896DE6" w:rsidP="00896DE6">
      <w:pPr>
        <w:widowControl w:val="0"/>
        <w:tabs>
          <w:tab w:val="right" w:pos="1008"/>
          <w:tab w:val="left" w:pos="1152"/>
          <w:tab w:val="left" w:pos="1872"/>
          <w:tab w:val="left" w:pos="9187"/>
        </w:tabs>
        <w:ind w:left="2088" w:hanging="2088"/>
      </w:pPr>
    </w:p>
    <w:p w:rsidR="00896DE6" w:rsidRDefault="00896DE6" w:rsidP="00896DE6">
      <w:pPr>
        <w:widowControl w:val="0"/>
      </w:pPr>
      <w:r w:rsidRPr="00896DE6">
        <w:rPr>
          <w:b/>
        </w:rPr>
        <w:t>VERSIONS OF THIS BILL</w:t>
      </w:r>
    </w:p>
    <w:p w:rsidR="00896DE6" w:rsidRDefault="00896DE6" w:rsidP="00896DE6">
      <w:pPr>
        <w:widowControl w:val="0"/>
      </w:pPr>
    </w:p>
    <w:p w:rsidR="00896DE6" w:rsidRDefault="004E24AF" w:rsidP="00896DE6">
      <w:pPr>
        <w:widowControl w:val="0"/>
      </w:pPr>
      <w:hyperlink r:id="rId9" w:history="1">
        <w:r w:rsidR="00896DE6">
          <w:rPr>
            <w:rStyle w:val="Hyperlink"/>
          </w:rPr>
          <w:t>12/12/2018</w:t>
        </w:r>
      </w:hyperlink>
    </w:p>
    <w:p w:rsidR="00896DE6" w:rsidRDefault="00896DE6" w:rsidP="00896DE6"/>
    <w:p w:rsidR="00896DE6" w:rsidRDefault="00896DE6" w:rsidP="00896DE6">
      <w:pPr>
        <w:sectPr w:rsidR="00896DE6" w:rsidSect="00896DE6">
          <w:pgSz w:w="12240" w:h="15840" w:code="1"/>
          <w:pgMar w:top="1080" w:right="1440" w:bottom="1080" w:left="1440" w:header="720" w:footer="720" w:gutter="0"/>
          <w:cols w:space="720"/>
          <w:noEndnote/>
          <w:docGrid w:linePitch="360"/>
        </w:sectPr>
      </w:pPr>
    </w:p>
    <w:p w:rsidR="007F5597" w:rsidRPr="00522CE0" w:rsidRDefault="007F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178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6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923">
        <w:t>PROPOSING AN AMENDMENT TO ARTICLE XVII</w:t>
      </w:r>
      <w:r>
        <w:t xml:space="preserve"> </w:t>
      </w:r>
      <w:r w:rsidRPr="00466923">
        <w:t xml:space="preserve">OF THE CONSTITUTION OF SOUTH CAROLINA, </w:t>
      </w:r>
      <w:r>
        <w:t xml:space="preserve">1895, </w:t>
      </w:r>
      <w:r w:rsidRPr="00466923">
        <w:t>RELATING TO</w:t>
      </w:r>
      <w:r>
        <w:t xml:space="preserve"> MISCELLANEOUS CONSTITUTIONAL MATTERS,</w:t>
      </w:r>
      <w:r w:rsidRPr="00466923">
        <w:t xml:space="preserve"> BY ADDING SECTION 1</w:t>
      </w:r>
      <w:r>
        <w:t>6</w:t>
      </w:r>
      <w:r w:rsidR="00F26C96">
        <w:t>,</w:t>
      </w:r>
      <w:r>
        <w:t xml:space="preserve"> </w:t>
      </w:r>
      <w:r w:rsidRPr="00466923">
        <w:t>TO ESTABLISH A SPECIFIED PROCEDURE FOR THE ENACTMENT OR REPEAL OF LAWS AND CONSTITUTIONAL AMENDMENTS BY INITIATIVE PETITION AND REFERENDUM AND TO PROVIDE EXCEPTIONS.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178A" w:rsidRDefault="00FB1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178A" w:rsidRDefault="00FB1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BE" w:rsidRPr="006464BE" w:rsidRDefault="00FB178A"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464BE" w:rsidRPr="006464BE">
        <w:rPr>
          <w:rFonts w:eastAsia="Times New Roman"/>
          <w:color w:val="000000" w:themeColor="text1"/>
          <w:szCs w:val="20"/>
          <w:u w:color="000000" w:themeColor="text1"/>
        </w:rPr>
        <w:t>It is proposed that Article XVII of the Constitution of this State be amended by adding:</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“Section 16.</w:t>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In addition to the provisions of Article III and Article XVI of this Constitution, relating to the enactment of laws and constitutional amendments</w:t>
      </w:r>
      <w:r w:rsidR="00F26C96">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in order to give meaning to the right of the people to petition their government for redress of grievances as guaranteed by Section 2, Article I of this Constitution, there is reserved </w:t>
      </w:r>
      <w:r w:rsidR="00F26C96">
        <w:rPr>
          <w:rFonts w:eastAsia="Times New Roman"/>
          <w:color w:val="000000" w:themeColor="text1"/>
          <w:szCs w:val="20"/>
          <w:u w:color="000000" w:themeColor="text1"/>
        </w:rPr>
        <w:t>by</w:t>
      </w:r>
      <w:r w:rsidRPr="006464BE">
        <w:rPr>
          <w:rFonts w:eastAsia="Times New Roman"/>
          <w:color w:val="000000" w:themeColor="text1"/>
          <w:szCs w:val="20"/>
          <w:u w:color="000000" w:themeColor="text1"/>
        </w:rPr>
        <w:t xml:space="preserve"> the people the power to repeal and enact laws and constitutional amendments by means of initiative petition. This </w:t>
      </w:r>
      <w:r w:rsidR="00F26C96">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must be construed </w:t>
      </w:r>
      <w:r w:rsidR="00F26C96">
        <w:rPr>
          <w:rFonts w:eastAsia="Times New Roman"/>
          <w:color w:val="000000" w:themeColor="text1"/>
          <w:szCs w:val="20"/>
          <w:u w:color="000000" w:themeColor="text1"/>
        </w:rPr>
        <w:t xml:space="preserve">in a manner </w:t>
      </w:r>
      <w:r w:rsidRPr="006464BE">
        <w:rPr>
          <w:rFonts w:eastAsia="Times New Roman"/>
          <w:color w:val="000000" w:themeColor="text1"/>
          <w:szCs w:val="20"/>
          <w:u w:color="000000" w:themeColor="text1"/>
        </w:rPr>
        <w:t>consistent with this Constitution and is an additional method of amending this Constitution and of enacting general laws of the State.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(B)(1)</w:t>
      </w:r>
      <w:r w:rsidRPr="006464BE">
        <w:rPr>
          <w:rFonts w:eastAsia="Times New Roman"/>
          <w:color w:val="000000" w:themeColor="text1"/>
          <w:szCs w:val="20"/>
          <w:u w:color="000000" w:themeColor="text1"/>
        </w:rPr>
        <w:tab/>
        <w:t>Initiative and referendum powers may be invoked by presenting a petition to the State Election Commission.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An initiative petition must contain a full and correct copy of the title and text of the proposed law or constitutional amendment.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A petition concerning a constitutional amendment or a general law must be signed by a number of qualified electors, not </w:t>
      </w:r>
      <w:r w:rsidRPr="006464BE">
        <w:rPr>
          <w:rFonts w:eastAsia="Times New Roman"/>
          <w:color w:val="000000" w:themeColor="text1"/>
          <w:szCs w:val="20"/>
          <w:u w:color="000000" w:themeColor="text1"/>
        </w:rPr>
        <w:lastRenderedPageBreak/>
        <w:t>fewer than ten percent of the qualified electors for the last statewide general election as determined by the State Election Commission.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(4)</w:t>
      </w:r>
      <w:r w:rsidRPr="006464BE">
        <w:rPr>
          <w:rFonts w:eastAsia="Times New Roman"/>
          <w:color w:val="000000" w:themeColor="text1"/>
          <w:szCs w:val="20"/>
          <w:u w:color="000000" w:themeColor="text1"/>
        </w:rPr>
        <w:tab/>
        <w:t>A petition must contain qualified signatures geographically distributed so as to include a minimum of two percent of its signatures from each of at least two</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thirds of the counties, rounded to the next higher number, based on the number of qualified electors in each county for the last statewide general election.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(C)(1)</w:t>
      </w:r>
      <w:r w:rsidRPr="006464BE">
        <w:rPr>
          <w:rFonts w:eastAsia="Times New Roman"/>
          <w:color w:val="000000" w:themeColor="text1"/>
          <w:szCs w:val="20"/>
          <w:u w:color="000000" w:themeColor="text1"/>
        </w:rPr>
        <w:tab/>
        <w:t>A proposition submitted to the v</w:t>
      </w:r>
      <w:r w:rsidR="00F26C96">
        <w:rPr>
          <w:rFonts w:eastAsia="Times New Roman"/>
          <w:color w:val="000000" w:themeColor="text1"/>
          <w:szCs w:val="20"/>
          <w:u w:color="000000" w:themeColor="text1"/>
        </w:rPr>
        <w:t>oters becomes law or part of this</w:t>
      </w:r>
      <w:r w:rsidRPr="006464BE">
        <w:rPr>
          <w:rFonts w:eastAsia="Times New Roman"/>
          <w:color w:val="000000" w:themeColor="text1"/>
          <w:szCs w:val="20"/>
          <w:u w:color="000000" w:themeColor="text1"/>
        </w:rPr>
        <w:t xml:space="preserve"> Constitution when a majority of the votes cast </w:t>
      </w:r>
      <w:r w:rsidR="00F26C96">
        <w:rPr>
          <w:rFonts w:eastAsia="Times New Roman"/>
          <w:color w:val="000000" w:themeColor="text1"/>
          <w:szCs w:val="20"/>
          <w:u w:color="000000" w:themeColor="text1"/>
        </w:rPr>
        <w:t>with regard to the proposition</w:t>
      </w:r>
      <w:r w:rsidRPr="006464BE">
        <w:rPr>
          <w:rFonts w:eastAsia="Times New Roman"/>
          <w:color w:val="000000" w:themeColor="text1"/>
          <w:szCs w:val="20"/>
          <w:u w:color="000000" w:themeColor="text1"/>
        </w:rPr>
        <w:t xml:space="preserve"> are cast in favor of </w:t>
      </w:r>
      <w:r w:rsidR="00F26C96">
        <w:rPr>
          <w:rFonts w:eastAsia="Times New Roman"/>
          <w:color w:val="000000" w:themeColor="text1"/>
          <w:szCs w:val="20"/>
          <w:u w:color="000000" w:themeColor="text1"/>
        </w:rPr>
        <w:t>it</w:t>
      </w:r>
      <w:r w:rsidRPr="006464BE">
        <w:rPr>
          <w:rFonts w:eastAsia="Times New Roman"/>
          <w:color w:val="000000" w:themeColor="text1"/>
          <w:szCs w:val="20"/>
          <w:u w:color="000000" w:themeColor="text1"/>
        </w:rPr>
        <w:t xml:space="preserve">. A proposition enacted by the General Assembly as provided for in subsection (E)(3) becomes law upon delivery to the Secretary of State. All propositions take effect according to the terms of the proposition or upon proclamation by the Governor, which shall take place within thirty days after the votes have been canvassed. If </w:t>
      </w:r>
      <w:r w:rsidR="00F26C96">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 xml:space="preserve">provisions of two or more propositions </w:t>
      </w:r>
      <w:r w:rsidR="00F26C96">
        <w:rPr>
          <w:rFonts w:eastAsia="Times New Roman"/>
          <w:color w:val="000000" w:themeColor="text1"/>
          <w:szCs w:val="20"/>
          <w:u w:color="000000" w:themeColor="text1"/>
        </w:rPr>
        <w:t xml:space="preserve">that are </w:t>
      </w:r>
      <w:r w:rsidRPr="006464BE">
        <w:rPr>
          <w:rFonts w:eastAsia="Times New Roman"/>
          <w:color w:val="000000" w:themeColor="text1"/>
          <w:szCs w:val="20"/>
          <w:u w:color="000000" w:themeColor="text1"/>
        </w:rPr>
        <w:t xml:space="preserve">approved at the same election conflict, </w:t>
      </w:r>
      <w:r w:rsidR="00F26C96">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provisions of the proposition receiving the highest </w:t>
      </w:r>
      <w:r w:rsidR="00F26C96">
        <w:rPr>
          <w:rFonts w:eastAsia="Times New Roman"/>
          <w:color w:val="000000" w:themeColor="text1"/>
          <w:szCs w:val="20"/>
          <w:u w:color="000000" w:themeColor="text1"/>
        </w:rPr>
        <w:t xml:space="preserve">number of </w:t>
      </w:r>
      <w:r w:rsidRPr="006464BE">
        <w:rPr>
          <w:rFonts w:eastAsia="Times New Roman"/>
          <w:color w:val="000000" w:themeColor="text1"/>
          <w:szCs w:val="20"/>
          <w:u w:color="000000" w:themeColor="text1"/>
        </w:rPr>
        <w:t xml:space="preserve">affirmative votes </w:t>
      </w:r>
      <w:r w:rsidR="00F26C96">
        <w:rPr>
          <w:rFonts w:eastAsia="Times New Roman"/>
          <w:color w:val="000000" w:themeColor="text1"/>
          <w:szCs w:val="20"/>
          <w:u w:color="000000" w:themeColor="text1"/>
        </w:rPr>
        <w:t xml:space="preserve">shall </w:t>
      </w:r>
      <w:r w:rsidRPr="006464BE">
        <w:rPr>
          <w:rFonts w:eastAsia="Times New Roman"/>
          <w:color w:val="000000" w:themeColor="text1"/>
          <w:szCs w:val="20"/>
          <w:u w:color="000000" w:themeColor="text1"/>
        </w:rPr>
        <w:t>prevail to the extent of the conflict.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All propositions concerning constitutional amendments or the general law must be submitted to the voters in a statewide election to be conducted on the first Tuesday following the first Monday of November of </w:t>
      </w:r>
      <w:r w:rsidR="00F26C96">
        <w:rPr>
          <w:rFonts w:eastAsia="Times New Roman"/>
          <w:color w:val="000000" w:themeColor="text1"/>
          <w:szCs w:val="20"/>
          <w:u w:color="000000" w:themeColor="text1"/>
        </w:rPr>
        <w:t>an</w:t>
      </w:r>
      <w:r w:rsidRPr="006464BE">
        <w:rPr>
          <w:rFonts w:eastAsia="Times New Roman"/>
          <w:color w:val="000000" w:themeColor="text1"/>
          <w:szCs w:val="20"/>
          <w:u w:color="000000" w:themeColor="text1"/>
        </w:rPr>
        <w:t xml:space="preserve">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numbered year. If a proposition is certified by the State Election Commission no later than August first of an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w:t>
      </w:r>
      <w:r w:rsidR="00F26C96">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referendum on that proposition must be conducted in November of that year; otherwise, the referendum must be conducted in the next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numbered year.</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The veto power of the Governor does not extend to initiative and referendum measures enacted by the people pursuant to the provisions of this section. Initiative and referendum measures must not be sent to the Governor for his signature and </w:t>
      </w:r>
      <w:r w:rsidR="00F26C96">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become law without his signature.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(4)</w:t>
      </w:r>
      <w:r w:rsidRPr="006464BE">
        <w:rPr>
          <w:rFonts w:eastAsia="Times New Roman"/>
          <w:color w:val="000000" w:themeColor="text1"/>
          <w:szCs w:val="20"/>
          <w:u w:color="000000" w:themeColor="text1"/>
        </w:rPr>
        <w:tab/>
        <w:t>The style of all general laws enacted by the initiative is, ‘Be It Enacted by the People of the State of South Carolina</w:t>
      </w:r>
      <w:r w:rsidR="00F26C96">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The style of all constitutional amendments enacted by the initiative is, ‘Be It Resolved by the People of the State of South Carolina that the Constitution of South Carolina, 1895, be Amended</w:t>
      </w:r>
      <w:r w:rsidR="00F26C96">
        <w:rPr>
          <w:rFonts w:eastAsia="Times New Roman"/>
          <w:color w:val="000000" w:themeColor="text1"/>
          <w:szCs w:val="20"/>
          <w:u w:color="000000" w:themeColor="text1"/>
        </w:rPr>
        <w:t>.</w:t>
      </w:r>
      <w:r w:rsidRPr="006464BE">
        <w:rPr>
          <w:rFonts w:eastAsia="Times New Roman"/>
          <w:color w:val="000000" w:themeColor="text1"/>
          <w:szCs w:val="20"/>
          <w:u w:color="000000" w:themeColor="text1"/>
        </w:rPr>
        <w: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(D)(1)</w:t>
      </w:r>
      <w:r w:rsidRPr="006464BE">
        <w:rPr>
          <w:rFonts w:eastAsia="Times New Roman"/>
          <w:color w:val="000000" w:themeColor="text1"/>
          <w:szCs w:val="20"/>
          <w:u w:color="000000" w:themeColor="text1"/>
        </w:rPr>
        <w:tab/>
        <w:t>An initiative and referendum is proposed by submitting an application containing the full text of the proposed measure with a one</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time fee of fifty dollars. The State Election Commission periodically may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w:t>
      </w:r>
      <w:r w:rsidR="00F26C96">
        <w:rPr>
          <w:rFonts w:eastAsia="Times New Roman"/>
          <w:color w:val="000000" w:themeColor="text1"/>
          <w:szCs w:val="20"/>
          <w:u w:color="000000" w:themeColor="text1"/>
        </w:rPr>
        <w:t>State Election Commission</w:t>
      </w:r>
      <w:r w:rsidRPr="006464BE">
        <w:rPr>
          <w:rFonts w:eastAsia="Times New Roman"/>
          <w:color w:val="000000" w:themeColor="text1"/>
          <w:szCs w:val="20"/>
          <w:u w:color="000000" w:themeColor="text1"/>
        </w:rPr>
        <w:t xml:space="preserve">.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 xml:space="preserve">shall </w:t>
      </w:r>
      <w:r w:rsidR="00F26C96">
        <w:rPr>
          <w:rFonts w:eastAsia="Times New Roman"/>
          <w:color w:val="000000" w:themeColor="text1"/>
          <w:szCs w:val="20"/>
          <w:u w:color="000000" w:themeColor="text1"/>
        </w:rPr>
        <w:t>transmit</w:t>
      </w:r>
      <w:r w:rsidRPr="006464BE">
        <w:rPr>
          <w:rFonts w:eastAsia="Times New Roman"/>
          <w:color w:val="000000" w:themeColor="text1"/>
          <w:szCs w:val="20"/>
          <w:u w:color="000000" w:themeColor="text1"/>
        </w:rPr>
        <w:t xml:space="preserve"> a copy of the proposed measure to the Attorney General, Revenue and Fiscal Affairs Office, and Legislative Council for review and comment. Review and comment shall include </w:t>
      </w:r>
      <w:r w:rsidR="001F69D5">
        <w:rPr>
          <w:rFonts w:eastAsia="Times New Roman"/>
          <w:color w:val="000000" w:themeColor="text1"/>
          <w:szCs w:val="20"/>
          <w:u w:color="000000" w:themeColor="text1"/>
        </w:rPr>
        <w:t>suggested changes</w:t>
      </w:r>
      <w:r w:rsidRPr="006464BE">
        <w:rPr>
          <w:rFonts w:eastAsia="Times New Roman"/>
          <w:color w:val="000000" w:themeColor="text1"/>
          <w:szCs w:val="20"/>
          <w:u w:color="000000" w:themeColor="text1"/>
        </w:rPr>
        <w:t xml:space="preserve"> </w:t>
      </w:r>
      <w:r w:rsidR="001F69D5">
        <w:rPr>
          <w:rFonts w:eastAsia="Times New Roman"/>
          <w:color w:val="000000" w:themeColor="text1"/>
          <w:szCs w:val="20"/>
          <w:u w:color="000000" w:themeColor="text1"/>
        </w:rPr>
        <w:t>for</w:t>
      </w:r>
      <w:r w:rsidRPr="006464BE">
        <w:rPr>
          <w:rFonts w:eastAsia="Times New Roman"/>
          <w:color w:val="000000" w:themeColor="text1"/>
          <w:szCs w:val="20"/>
          <w:u w:color="000000" w:themeColor="text1"/>
        </w:rPr>
        <w:t xml:space="preserve"> compliance</w:t>
      </w:r>
      <w:r w:rsidR="001F69D5">
        <w:rPr>
          <w:rFonts w:eastAsia="Times New Roman"/>
          <w:color w:val="000000" w:themeColor="text1"/>
          <w:szCs w:val="20"/>
          <w:u w:color="000000" w:themeColor="text1"/>
        </w:rPr>
        <w:t xml:space="preserve"> with the single-</w:t>
      </w:r>
      <w:r w:rsidRPr="006464BE">
        <w:rPr>
          <w:rFonts w:eastAsia="Times New Roman"/>
          <w:color w:val="000000" w:themeColor="text1"/>
          <w:szCs w:val="20"/>
          <w:u w:color="000000" w:themeColor="text1"/>
        </w:rPr>
        <w:t>subject rule,</w:t>
      </w:r>
      <w:r w:rsidR="001F69D5">
        <w:rPr>
          <w:rFonts w:eastAsia="Times New Roman"/>
          <w:color w:val="000000" w:themeColor="text1"/>
          <w:szCs w:val="20"/>
          <w:u w:color="000000" w:themeColor="text1"/>
        </w:rPr>
        <w:t xml:space="preserve"> pursuant to Section 17, Article III;</w:t>
      </w:r>
      <w:r w:rsidRPr="006464BE">
        <w:rPr>
          <w:rFonts w:eastAsia="Times New Roman"/>
          <w:color w:val="000000" w:themeColor="text1"/>
          <w:szCs w:val="20"/>
          <w:u w:color="000000" w:themeColor="text1"/>
        </w:rPr>
        <w:t xml:space="preserve"> </w:t>
      </w:r>
      <w:r w:rsidR="001F69D5">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prevent</w:t>
      </w:r>
      <w:r w:rsidR="001F69D5">
        <w:rPr>
          <w:rFonts w:eastAsia="Times New Roman"/>
          <w:color w:val="000000" w:themeColor="text1"/>
          <w:szCs w:val="20"/>
          <w:u w:color="000000" w:themeColor="text1"/>
        </w:rPr>
        <w:t>ion of conflicts with existing law;</w:t>
      </w:r>
      <w:r w:rsidRPr="006464BE">
        <w:rPr>
          <w:rFonts w:eastAsia="Times New Roman"/>
          <w:color w:val="000000" w:themeColor="text1"/>
          <w:szCs w:val="20"/>
          <w:u w:color="000000" w:themeColor="text1"/>
        </w:rPr>
        <w:t xml:space="preserve"> language or drafting problems</w:t>
      </w:r>
      <w:r w:rsidR="001F69D5">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w:t>
      </w:r>
      <w:r w:rsidR="001F69D5">
        <w:rPr>
          <w:rFonts w:eastAsia="Times New Roman"/>
          <w:color w:val="000000" w:themeColor="text1"/>
          <w:szCs w:val="20"/>
          <w:u w:color="000000" w:themeColor="text1"/>
        </w:rPr>
        <w:t>standard</w:t>
      </w:r>
      <w:r w:rsidRPr="006464BE">
        <w:rPr>
          <w:rFonts w:eastAsia="Times New Roman"/>
          <w:color w:val="000000" w:themeColor="text1"/>
          <w:szCs w:val="20"/>
          <w:u w:color="000000" w:themeColor="text1"/>
        </w:rPr>
        <w:t xml:space="preserve"> petition form. Upon request by the sponsors, the State Election Commission shall prepare the standard petition form within seven days of notification, as provided by law, and send the petition to the sponsors for signature collection.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Legislative Council shall formulate a concise ballot title and official summary of the proposed measure for use in the petition. The ballot title may not exceed ten words</w:t>
      </w:r>
      <w:r w:rsidR="001F69D5">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Revenue and Fiscal Affairs Office shall prepare a fiscal analysis of the effect of the proposed measure on the state finances for use in the petition. If the Revenue and Fiscal Affairs Office projects that the proposed measure will require </w:t>
      </w:r>
      <w:r w:rsidR="001F69D5">
        <w:rPr>
          <w:rFonts w:eastAsia="Times New Roman"/>
          <w:color w:val="000000" w:themeColor="text1"/>
          <w:szCs w:val="20"/>
          <w:u w:color="000000" w:themeColor="text1"/>
        </w:rPr>
        <w:t xml:space="preserve">a </w:t>
      </w:r>
      <w:r w:rsidRPr="006464BE">
        <w:rPr>
          <w:rFonts w:eastAsia="Times New Roman"/>
          <w:color w:val="000000" w:themeColor="text1"/>
          <w:szCs w:val="20"/>
          <w:u w:color="000000" w:themeColor="text1"/>
        </w:rPr>
        <w:t>substantial expenditure of state funds in excess of general administrative expenses,</w:t>
      </w:r>
      <w:r w:rsidR="001F69D5">
        <w:rPr>
          <w:rFonts w:eastAsia="Times New Roman"/>
          <w:color w:val="000000" w:themeColor="text1"/>
          <w:szCs w:val="20"/>
          <w:u w:color="000000" w:themeColor="text1"/>
        </w:rPr>
        <w:t xml:space="preserve"> then</w:t>
      </w:r>
      <w:r w:rsidRPr="006464BE">
        <w:rPr>
          <w:rFonts w:eastAsia="Times New Roman"/>
          <w:color w:val="000000" w:themeColor="text1"/>
          <w:szCs w:val="20"/>
          <w:u w:color="000000" w:themeColor="text1"/>
        </w:rPr>
        <w:t xml:space="preserve"> the fiscal analysis shall include projected total increases or decreases in state revenues or expenditures. If an initiative measure reduces state revenues, </w:t>
      </w:r>
      <w:r w:rsidR="001F69D5">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measure must provide specifically how the reduction in revenue will be implemented. The Revenue and Fiscal Affairs Office shall provide an opinion as to whether the proposed revenues will cover any expenditures required by the terms of the initiative. The fiscal analysis and constitutional analysis shall not exceed fifty words each. The constitutional and fiscal analys</w:t>
      </w:r>
      <w:r w:rsidR="001F69D5">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s must be fair and impartial statement</w:t>
      </w:r>
      <w:r w:rsidR="001F69D5">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concerning the effect of the proposed measure.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The petition must be signed by </w:t>
      </w:r>
      <w:r w:rsidR="001F69D5">
        <w:rPr>
          <w:rFonts w:eastAsia="Times New Roman"/>
          <w:color w:val="000000" w:themeColor="text1"/>
          <w:szCs w:val="20"/>
          <w:u w:color="000000" w:themeColor="text1"/>
        </w:rPr>
        <w:t xml:space="preserve">each </w:t>
      </w:r>
      <w:r w:rsidRPr="006464BE">
        <w:rPr>
          <w:rFonts w:eastAsia="Times New Roman"/>
          <w:color w:val="000000" w:themeColor="text1"/>
          <w:szCs w:val="20"/>
          <w:u w:color="000000" w:themeColor="text1"/>
        </w:rPr>
        <w:t xml:space="preserve">qualified elector in </w:t>
      </w:r>
      <w:r w:rsidR="001F69D5">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own name and </w:t>
      </w:r>
      <w:r w:rsidR="001F69D5">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include street address</w:t>
      </w:r>
      <w:r w:rsidR="001F69D5">
        <w:rPr>
          <w:rFonts w:eastAsia="Times New Roman"/>
          <w:color w:val="000000" w:themeColor="text1"/>
          <w:szCs w:val="20"/>
          <w:u w:color="000000" w:themeColor="text1"/>
        </w:rPr>
        <w:t>; telephone number;</w:t>
      </w:r>
      <w:r w:rsidRPr="006464BE">
        <w:rPr>
          <w:rFonts w:eastAsia="Times New Roman"/>
          <w:color w:val="000000" w:themeColor="text1"/>
          <w:szCs w:val="20"/>
          <w:u w:color="000000" w:themeColor="text1"/>
        </w:rPr>
        <w:t xml:space="preserve"> voter re</w:t>
      </w:r>
      <w:r w:rsidR="001F69D5">
        <w:rPr>
          <w:rFonts w:eastAsia="Times New Roman"/>
          <w:color w:val="000000" w:themeColor="text1"/>
          <w:szCs w:val="20"/>
          <w:u w:color="000000" w:themeColor="text1"/>
        </w:rPr>
        <w:t>gistration number, if available;</w:t>
      </w:r>
      <w:r w:rsidRPr="006464BE">
        <w:rPr>
          <w:rFonts w:eastAsia="Times New Roman"/>
          <w:color w:val="000000" w:themeColor="text1"/>
          <w:szCs w:val="20"/>
          <w:u w:color="000000" w:themeColor="text1"/>
        </w:rPr>
        <w:t xml:space="preserve"> county</w:t>
      </w:r>
      <w:r w:rsidR="001F69D5">
        <w:rPr>
          <w:rFonts w:eastAsia="Times New Roman"/>
          <w:color w:val="000000" w:themeColor="text1"/>
          <w:szCs w:val="20"/>
          <w:u w:color="000000" w:themeColor="text1"/>
        </w:rPr>
        <w:t xml:space="preserve"> of residence;</w:t>
      </w:r>
      <w:r w:rsidRPr="006464BE">
        <w:rPr>
          <w:rFonts w:eastAsia="Times New Roman"/>
          <w:color w:val="000000" w:themeColor="text1"/>
          <w:szCs w:val="20"/>
          <w:u w:color="000000" w:themeColor="text1"/>
        </w:rPr>
        <w:t xml:space="preserve"> and date of signature. Each petition shall include an affidavit signed by a qualified elector stating that, to the best knowledge and belief of </w:t>
      </w:r>
      <w:r w:rsidR="001F69D5">
        <w:rPr>
          <w:rFonts w:eastAsia="Times New Roman"/>
          <w:color w:val="000000" w:themeColor="text1"/>
          <w:szCs w:val="20"/>
          <w:u w:color="000000" w:themeColor="text1"/>
        </w:rPr>
        <w:t>the affiant, each signature is the</w:t>
      </w:r>
      <w:r w:rsidRPr="006464BE">
        <w:rPr>
          <w:rFonts w:eastAsia="Times New Roman"/>
          <w:color w:val="000000" w:themeColor="text1"/>
          <w:szCs w:val="20"/>
          <w:u w:color="000000" w:themeColor="text1"/>
        </w:rPr>
        <w:t xml:space="preserve"> valid signature of the person whose name it purports to be and that each person signing the petition is a registered voter. Signatures on petitions with completed affidavits are presumed valid. Except as provided for in subsection (E)(2), signatures over two years old at the date of filing are invalid. Signatures may not be removed from petitions.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(E)(1)</w:t>
      </w:r>
      <w:r w:rsidRPr="006464BE">
        <w:rPr>
          <w:rFonts w:eastAsia="Times New Roman"/>
          <w:color w:val="000000" w:themeColor="text1"/>
          <w:szCs w:val="20"/>
          <w:u w:color="000000" w:themeColor="text1"/>
        </w:rPr>
        <w:tab/>
        <w:t xml:space="preserve">Initiative and referendum petitions may be submitted </w:t>
      </w:r>
      <w:r w:rsidR="001F69D5">
        <w:rPr>
          <w:rFonts w:eastAsia="Times New Roman"/>
          <w:color w:val="000000" w:themeColor="text1"/>
          <w:szCs w:val="20"/>
          <w:u w:color="000000" w:themeColor="text1"/>
        </w:rPr>
        <w:t>to</w:t>
      </w:r>
      <w:r w:rsidRPr="006464BE">
        <w:rPr>
          <w:rFonts w:eastAsia="Times New Roman"/>
          <w:color w:val="000000" w:themeColor="text1"/>
          <w:szCs w:val="20"/>
          <w:u w:color="000000" w:themeColor="text1"/>
        </w:rPr>
        <w:t xml:space="preserve"> the State Election Commission at any time; however, a petition must be submitted to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no later than June first of an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to be certified and submitted to the voters in a referendum conducted in November of that year.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 xml:space="preserve">shall verify the signatures of the petition using a method provided by law. Within sixty days of the filing of the petition,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 xml:space="preserve">shall either certify the proposed measure as a ballot proposition or deny certification. Upon certification,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shall submit the proposition to the voters as provided for in subsection (C)(2), unless the General Assembly adopts a proposed general law as provided for in item (3). Upon certification of the proposition for ballot, the Attorney General shall defend the proposed law in the courts on behalf of the people of South Carolina.</w:t>
      </w:r>
    </w:p>
    <w:p w:rsidR="006464BE" w:rsidRPr="006464BE" w:rsidRDefault="001F69D5"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If the State Election Commission denies certification, then t</w:t>
      </w:r>
      <w:r w:rsidR="006464BE" w:rsidRPr="006464BE">
        <w:rPr>
          <w:rFonts w:eastAsia="Times New Roman"/>
          <w:color w:val="000000" w:themeColor="text1"/>
          <w:szCs w:val="20"/>
          <w:u w:color="000000" w:themeColor="text1"/>
        </w:rPr>
        <w:t xml:space="preserve">he State Election Commission </w:t>
      </w:r>
      <w:r w:rsidR="00390EAB">
        <w:rPr>
          <w:rFonts w:eastAsia="Times New Roman"/>
          <w:color w:val="000000" w:themeColor="text1"/>
          <w:szCs w:val="20"/>
          <w:u w:color="000000" w:themeColor="text1"/>
        </w:rPr>
        <w:t>shall notify the sponsors of its</w:t>
      </w:r>
      <w:r w:rsidR="006464BE" w:rsidRPr="006464BE">
        <w:rPr>
          <w:rFonts w:eastAsia="Times New Roman"/>
          <w:color w:val="000000" w:themeColor="text1"/>
          <w:szCs w:val="20"/>
          <w:u w:color="000000" w:themeColor="text1"/>
        </w:rPr>
        <w:t xml:space="preserve"> reasons for denying certification. If certification is denied due to insufficient valid signatures, </w:t>
      </w:r>
      <w:r w:rsidR="00390EAB">
        <w:rPr>
          <w:rFonts w:eastAsia="Times New Roman"/>
          <w:color w:val="000000" w:themeColor="text1"/>
          <w:szCs w:val="20"/>
          <w:u w:color="000000" w:themeColor="text1"/>
        </w:rPr>
        <w:t xml:space="preserve">then </w:t>
      </w:r>
      <w:r w:rsidR="006464BE" w:rsidRPr="006464BE">
        <w:rPr>
          <w:rFonts w:eastAsia="Times New Roman"/>
          <w:color w:val="000000" w:themeColor="text1"/>
          <w:szCs w:val="20"/>
          <w:u w:color="000000" w:themeColor="text1"/>
        </w:rPr>
        <w:t xml:space="preserve">the </w:t>
      </w:r>
      <w:r w:rsidR="00F26C96" w:rsidRPr="006464BE">
        <w:rPr>
          <w:rFonts w:eastAsia="Times New Roman"/>
          <w:color w:val="000000" w:themeColor="text1"/>
          <w:szCs w:val="20"/>
          <w:u w:color="000000" w:themeColor="text1"/>
        </w:rPr>
        <w:t xml:space="preserve">State Election Commission </w:t>
      </w:r>
      <w:r w:rsidR="006464BE" w:rsidRPr="006464BE">
        <w:rPr>
          <w:rFonts w:eastAsia="Times New Roman"/>
          <w:color w:val="000000" w:themeColor="text1"/>
          <w:szCs w:val="20"/>
          <w:u w:color="000000" w:themeColor="text1"/>
        </w:rPr>
        <w:t>shall grant the sponsors a one</w:t>
      </w:r>
      <w:r w:rsidR="004C6C1E">
        <w:rPr>
          <w:rFonts w:eastAsia="Times New Roman"/>
          <w:color w:val="000000" w:themeColor="text1"/>
          <w:szCs w:val="20"/>
          <w:u w:color="000000" w:themeColor="text1"/>
        </w:rPr>
        <w:noBreakHyphen/>
      </w:r>
      <w:r w:rsidR="006464BE" w:rsidRPr="006464BE">
        <w:rPr>
          <w:rFonts w:eastAsia="Times New Roman"/>
          <w:color w:val="000000" w:themeColor="text1"/>
          <w:szCs w:val="20"/>
          <w:u w:color="000000" w:themeColor="text1"/>
        </w:rPr>
        <w:t>time thirty</w:t>
      </w:r>
      <w:r w:rsidR="004C6C1E">
        <w:rPr>
          <w:rFonts w:eastAsia="Times New Roman"/>
          <w:color w:val="000000" w:themeColor="text1"/>
          <w:szCs w:val="20"/>
          <w:u w:color="000000" w:themeColor="text1"/>
        </w:rPr>
        <w:noBreakHyphen/>
      </w:r>
      <w:r w:rsidR="006464BE" w:rsidRPr="006464BE">
        <w:rPr>
          <w:rFonts w:eastAsia="Times New Roman"/>
          <w:color w:val="000000" w:themeColor="text1"/>
          <w:szCs w:val="20"/>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w:t>
      </w:r>
      <w:r w:rsidR="00390EAB">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clerk of each House shall prefile the proposition in </w:t>
      </w:r>
      <w:r w:rsidR="00390EAB">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respective House. On the first day of the session</w:t>
      </w:r>
      <w:r w:rsidR="00390EAB">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the proposition must be introduced by the President Pro Tempore of the Senate and the Speaker of the House. The proposition must be presented in bill form and treated as any other bill for a general law except as otherwise provided by this </w:t>
      </w:r>
      <w:r w:rsidR="00390EAB">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w:t>
      </w:r>
      <w:r w:rsidR="00390EAB">
        <w:rPr>
          <w:rFonts w:eastAsia="Times New Roman"/>
          <w:color w:val="000000" w:themeColor="text1"/>
          <w:szCs w:val="20"/>
          <w:u w:color="000000" w:themeColor="text1"/>
        </w:rPr>
        <w:t>body and is voted upon by each H</w:t>
      </w:r>
      <w:r w:rsidRPr="006464BE">
        <w:rPr>
          <w:rFonts w:eastAsia="Times New Roman"/>
          <w:color w:val="000000" w:themeColor="text1"/>
          <w:szCs w:val="20"/>
          <w:u w:color="000000" w:themeColor="text1"/>
        </w:rPr>
        <w:t xml:space="preserve">ouse of the General Assembly, in its original form as proposed, before adjournment. Ballot propositions submitted to special legislative sessions may be enacted by majority vote. If the General Assembly does not enact the proposition, </w:t>
      </w:r>
      <w:r w:rsidR="00390EAB">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State Election Commission shall put the proposition on the ballot as provided for in subsection (C)(2). Legislative enactment waives any defect in the signature or petition requirements.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(F)</w:t>
      </w:r>
      <w:r w:rsidRPr="006464BE">
        <w:rPr>
          <w:rFonts w:eastAsia="Times New Roman"/>
          <w:color w:val="000000" w:themeColor="text1"/>
          <w:szCs w:val="20"/>
          <w:u w:color="000000" w:themeColor="text1"/>
        </w:rP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for in subsection (C)(2). Propositions must be put on the ballot in a nonpartisan manner and without any indication of endorsement by any organization. Only the ballot title and the official summary</w:t>
      </w:r>
      <w:r w:rsidR="008E38F4">
        <w:rPr>
          <w:rFonts w:eastAsia="Times New Roman"/>
          <w:color w:val="000000" w:themeColor="text1"/>
          <w:szCs w:val="20"/>
          <w:u w:color="000000" w:themeColor="text1"/>
        </w:rPr>
        <w:t xml:space="preserve"> may be printed on the ballot. </w:t>
      </w:r>
      <w:r w:rsidRPr="006464BE">
        <w:rPr>
          <w:rFonts w:eastAsia="Times New Roman"/>
          <w:color w:val="000000" w:themeColor="text1"/>
          <w:szCs w:val="20"/>
          <w:u w:color="000000" w:themeColor="text1"/>
        </w:rPr>
        <w:t>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(G)(1)</w:t>
      </w:r>
      <w:r w:rsidRPr="006464BE">
        <w:rPr>
          <w:rFonts w:eastAsia="Times New Roman"/>
          <w:color w:val="000000" w:themeColor="text1"/>
          <w:szCs w:val="20"/>
          <w:u w:color="000000" w:themeColor="text1"/>
        </w:rPr>
        <w:tab/>
        <w:t>Except as provided by this section, any constitutional or technical processes that limit the General Assembly also shall limit any measure proposed and enacted pursuant to this amendment. Any initiative measure that requires expenditure of an amount greater than two</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tenths of one percent of the general fund budget in the immediately preceding fiscal year shall provide the funding necessary to cover the cost required from the State.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Initiative powers may not be used to enact laws relating to the following:</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creating courts, prescribing court rules, or altering the tenure, qualifications of, compensation for, or removal from judicial office;</w:t>
      </w:r>
      <w:r w:rsidR="00390EAB">
        <w:rPr>
          <w:rFonts w:eastAsia="Times New Roman"/>
          <w:color w:val="000000" w:themeColor="text1"/>
          <w:szCs w:val="20"/>
          <w:u w:color="000000" w:themeColor="text1"/>
        </w:rPr>
        <w:t xml:space="preserve"> or</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(b)</w:t>
      </w:r>
      <w:r w:rsidRPr="006464BE">
        <w:rPr>
          <w:rFonts w:eastAsia="Times New Roman"/>
          <w:color w:val="000000" w:themeColor="text1"/>
          <w:szCs w:val="20"/>
          <w:u w:color="000000" w:themeColor="text1"/>
        </w:rPr>
        <w:tab/>
        <w:t>naming or designating a person to hold a public office.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(H)</w:t>
      </w:r>
      <w:r w:rsidRPr="006464BE">
        <w:rPr>
          <w:rFonts w:eastAsia="Times New Roman"/>
          <w:color w:val="000000" w:themeColor="text1"/>
          <w:szCs w:val="20"/>
          <w:u w:color="000000" w:themeColor="text1"/>
        </w:rPr>
        <w:tab/>
        <w:t>A general law or constitutional amendment enacted by the initiative power under this section may not be repealed or amended except by a vote of the people, unless the measure provides otherwise.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(I)</w:t>
      </w:r>
      <w:r w:rsidRPr="006464BE">
        <w:rPr>
          <w:rFonts w:eastAsia="Times New Roman"/>
          <w:color w:val="000000" w:themeColor="text1"/>
          <w:szCs w:val="20"/>
          <w:u w:color="000000" w:themeColor="text1"/>
        </w:rPr>
        <w:tab/>
        <w:t>The initiative and referendum provisions are self</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executing and mandatory. The General Assembly may enact legislation to facilitate </w:t>
      </w:r>
      <w:r w:rsidR="00390EAB">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operation of the measure enacted.”</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“Must Article XVII of the Constitution of this State be amended by adding Section 16 so as to establish a specified procedure for the enactment or repeal of laws and constitutional amendments by ini</w:t>
      </w:r>
      <w:r w:rsidR="00390EAB">
        <w:rPr>
          <w:rFonts w:eastAsia="Times New Roman"/>
          <w:color w:val="000000" w:themeColor="text1"/>
          <w:szCs w:val="20"/>
          <w:u w:color="000000" w:themeColor="text1"/>
        </w:rPr>
        <w:t xml:space="preserve">tiative petition and referendum, in which </w:t>
      </w:r>
      <w:r w:rsidRPr="006464BE">
        <w:rPr>
          <w:rFonts w:eastAsia="Times New Roman"/>
          <w:color w:val="000000" w:themeColor="text1"/>
          <w:szCs w:val="20"/>
          <w:u w:color="000000" w:themeColor="text1"/>
        </w:rPr>
        <w:t xml:space="preserve">qualified electors must sign the petition for the proposed law or constitutional amendment to be considered by the General Assembly, and if the General Assembly does not act on the initiative, </w:t>
      </w:r>
      <w:r w:rsidR="00390EAB">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it is placed on the ballot in a statewide election to be conducted in the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and takes effect if a majority of the qualified electors vote in favor of it, and </w:t>
      </w:r>
      <w:r w:rsidR="00390EAB">
        <w:rPr>
          <w:rFonts w:eastAsia="Times New Roman"/>
          <w:color w:val="000000" w:themeColor="text1"/>
          <w:szCs w:val="20"/>
          <w:u w:color="000000" w:themeColor="text1"/>
        </w:rPr>
        <w:t xml:space="preserve">to </w:t>
      </w:r>
      <w:r w:rsidRPr="006464BE">
        <w:rPr>
          <w:rFonts w:eastAsia="Times New Roman"/>
          <w:color w:val="000000" w:themeColor="text1"/>
          <w:szCs w:val="20"/>
          <w:u w:color="000000" w:themeColor="text1"/>
        </w:rPr>
        <w:t>provide exceptions?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Yes</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No</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580683" w:rsidRDefault="004C6C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6DE6" w:rsidRDefault="00896DE6" w:rsidP="00896DE6">
      <w:pPr>
        <w:suppressAutoHyphens/>
        <w:jc w:val="both"/>
        <w:rPr>
          <w:rFonts w:eastAsia="Times New Roman"/>
        </w:rPr>
      </w:pPr>
    </w:p>
    <w:sectPr w:rsidR="00896DE6" w:rsidSect="00896D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9D5" w:rsidRDefault="001F69D5" w:rsidP="00522CE0">
      <w:r>
        <w:separator/>
      </w:r>
    </w:p>
  </w:endnote>
  <w:endnote w:type="continuationSeparator" w:id="0">
    <w:p w:rsidR="001F69D5" w:rsidRDefault="001F69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1F9E20-D947-411C-B03D-8121D763EAA2}"/>
    <w:embedBold r:id="rId2" w:fontKey="{33120FEF-4582-4E2E-857E-01B027212895}"/>
  </w:font>
  <w:font w:name="Calibri">
    <w:panose1 w:val="020F0502020204030204"/>
    <w:charset w:val="00"/>
    <w:family w:val="swiss"/>
    <w:pitch w:val="variable"/>
    <w:sig w:usb0="E00002FF" w:usb1="4000ACFF" w:usb2="00000001" w:usb3="00000000" w:csb0="0000019F" w:csb1="00000000"/>
    <w:embedRegular r:id="rId3" w:fontKey="{9B726501-E24C-45E5-BD47-29F4EE962432}"/>
    <w:embedBold r:id="rId4" w:fontKey="{37FD9914-1509-4ABD-8F3D-E94438CBEA0E}"/>
  </w:font>
  <w:font w:name="Wingdings">
    <w:panose1 w:val="05000000000000000000"/>
    <w:charset w:val="02"/>
    <w:family w:val="auto"/>
    <w:pitch w:val="variable"/>
    <w:sig w:usb0="00000000" w:usb1="10000000" w:usb2="00000000" w:usb3="00000000" w:csb0="80000000" w:csb1="00000000"/>
    <w:embedRegular r:id="rId5" w:fontKey="{AEA72F69-6AD1-4FB9-BB60-A2CF01BDB13B}"/>
  </w:font>
  <w:font w:name="Cambria">
    <w:panose1 w:val="02040503050406030204"/>
    <w:charset w:val="00"/>
    <w:family w:val="roman"/>
    <w:pitch w:val="variable"/>
    <w:sig w:usb0="E00002FF" w:usb1="400004FF" w:usb2="00000000" w:usb3="00000000" w:csb0="0000019F" w:csb1="00000000"/>
    <w:embedRegular r:id="rId6" w:fontKey="{24A30287-C953-445B-860D-B1853C938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DE6" w:rsidRPr="007F5597" w:rsidRDefault="00896DE6" w:rsidP="007F5597">
    <w:pPr>
      <w:pStyle w:val="Footer"/>
      <w:tabs>
        <w:tab w:val="clear" w:pos="4680"/>
        <w:tab w:val="clear" w:pos="9360"/>
        <w:tab w:val="center" w:pos="2995"/>
      </w:tabs>
      <w:spacing w:before="120"/>
    </w:pPr>
    <w:r>
      <w:t>[30]</w:t>
    </w:r>
    <w:r>
      <w:tab/>
    </w:r>
    <w:r>
      <w:fldChar w:fldCharType="begin"/>
    </w:r>
    <w:r>
      <w:instrText xml:space="preserve"> PAGE  \* MERGEFORMAT </w:instrText>
    </w:r>
    <w:r>
      <w:fldChar w:fldCharType="separate"/>
    </w:r>
    <w:r w:rsidR="000522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9D5" w:rsidRDefault="001F69D5" w:rsidP="00522CE0">
      <w:r>
        <w:separator/>
      </w:r>
    </w:p>
  </w:footnote>
  <w:footnote w:type="continuationSeparator" w:id="0">
    <w:p w:rsidR="001F69D5" w:rsidRDefault="001F69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ETI.KMM.LKG"/>
    <w:docVar w:name="CoverAttorneyInitials" w:val="KMM"/>
    <w:docVar w:name="CoverAttorneyLastName" w:val="Moffitt"/>
    <w:docVar w:name="CoverBillType" w:val="j"/>
    <w:docVar w:name="CoverSenator" w:val="LKG"/>
    <w:docVar w:name="dvBillNumber" w:val="30"/>
    <w:docVar w:name="dvBillNumberPrefix" w:val="S. "/>
    <w:docVar w:name="dvOriginalBody" w:val="Senate"/>
    <w:docVar w:name="fulldraftpath" w:val="L:\S-RES\LKG\003PETI.KMM.LKG.DOCX"/>
    <w:docVar w:name="NameofBody" w:val="S"/>
    <w:docVar w:name="vgroup2" w:val="S-RES"/>
  </w:docVars>
  <w:rsids>
    <w:rsidRoot w:val="00FB178A"/>
    <w:rsid w:val="00042AC1"/>
    <w:rsid w:val="00046516"/>
    <w:rsid w:val="000522C1"/>
    <w:rsid w:val="00072458"/>
    <w:rsid w:val="0007601D"/>
    <w:rsid w:val="000B0720"/>
    <w:rsid w:val="000B5EAF"/>
    <w:rsid w:val="001315B2"/>
    <w:rsid w:val="00170561"/>
    <w:rsid w:val="00186AC9"/>
    <w:rsid w:val="00197DF1"/>
    <w:rsid w:val="001B3DD9"/>
    <w:rsid w:val="001B7E5D"/>
    <w:rsid w:val="001D3BAC"/>
    <w:rsid w:val="001F69D5"/>
    <w:rsid w:val="00216025"/>
    <w:rsid w:val="00245C4E"/>
    <w:rsid w:val="002C1321"/>
    <w:rsid w:val="002C2031"/>
    <w:rsid w:val="002C5896"/>
    <w:rsid w:val="002D3BED"/>
    <w:rsid w:val="00307C2B"/>
    <w:rsid w:val="00315D04"/>
    <w:rsid w:val="00383247"/>
    <w:rsid w:val="00390EAB"/>
    <w:rsid w:val="003D6E2B"/>
    <w:rsid w:val="003E7597"/>
    <w:rsid w:val="00413EBF"/>
    <w:rsid w:val="0044020F"/>
    <w:rsid w:val="00442DFF"/>
    <w:rsid w:val="00450668"/>
    <w:rsid w:val="00454138"/>
    <w:rsid w:val="004813A2"/>
    <w:rsid w:val="004952FA"/>
    <w:rsid w:val="004B6A22"/>
    <w:rsid w:val="004C6C1E"/>
    <w:rsid w:val="004D7F37"/>
    <w:rsid w:val="00522CE0"/>
    <w:rsid w:val="00541951"/>
    <w:rsid w:val="00565148"/>
    <w:rsid w:val="00570403"/>
    <w:rsid w:val="00580683"/>
    <w:rsid w:val="00593361"/>
    <w:rsid w:val="005A413B"/>
    <w:rsid w:val="005A5017"/>
    <w:rsid w:val="005A648C"/>
    <w:rsid w:val="005F07AC"/>
    <w:rsid w:val="005F1745"/>
    <w:rsid w:val="006464BE"/>
    <w:rsid w:val="006A1802"/>
    <w:rsid w:val="006C0CBB"/>
    <w:rsid w:val="006C74EA"/>
    <w:rsid w:val="00720D40"/>
    <w:rsid w:val="007318D4"/>
    <w:rsid w:val="00765784"/>
    <w:rsid w:val="007A4390"/>
    <w:rsid w:val="007E5CB7"/>
    <w:rsid w:val="007F5597"/>
    <w:rsid w:val="00816B06"/>
    <w:rsid w:val="008314D2"/>
    <w:rsid w:val="00870F6F"/>
    <w:rsid w:val="00896DE6"/>
    <w:rsid w:val="008B2F42"/>
    <w:rsid w:val="008C3697"/>
    <w:rsid w:val="008E185F"/>
    <w:rsid w:val="008E38F4"/>
    <w:rsid w:val="008F023B"/>
    <w:rsid w:val="00904E16"/>
    <w:rsid w:val="009162B3"/>
    <w:rsid w:val="00927C62"/>
    <w:rsid w:val="00983951"/>
    <w:rsid w:val="00984124"/>
    <w:rsid w:val="00984640"/>
    <w:rsid w:val="00995C37"/>
    <w:rsid w:val="009C118A"/>
    <w:rsid w:val="00A02011"/>
    <w:rsid w:val="00A4011E"/>
    <w:rsid w:val="00A86015"/>
    <w:rsid w:val="00A9334E"/>
    <w:rsid w:val="00A9594E"/>
    <w:rsid w:val="00AE59C8"/>
    <w:rsid w:val="00B10098"/>
    <w:rsid w:val="00B5790D"/>
    <w:rsid w:val="00B945C5"/>
    <w:rsid w:val="00BA20EA"/>
    <w:rsid w:val="00BB5AFC"/>
    <w:rsid w:val="00BC0A56"/>
    <w:rsid w:val="00C45366"/>
    <w:rsid w:val="00C55BEA"/>
    <w:rsid w:val="00C57023"/>
    <w:rsid w:val="00C74052"/>
    <w:rsid w:val="00CB187A"/>
    <w:rsid w:val="00CC0EC7"/>
    <w:rsid w:val="00CC251A"/>
    <w:rsid w:val="00CE116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410"/>
    <w:rsid w:val="00E76AD9"/>
    <w:rsid w:val="00E86EE2"/>
    <w:rsid w:val="00E91E2F"/>
    <w:rsid w:val="00EA3546"/>
    <w:rsid w:val="00EB47AE"/>
    <w:rsid w:val="00EC34E1"/>
    <w:rsid w:val="00F0234A"/>
    <w:rsid w:val="00F05CF2"/>
    <w:rsid w:val="00F26C96"/>
    <w:rsid w:val="00F51241"/>
    <w:rsid w:val="00F52959"/>
    <w:rsid w:val="00F55884"/>
    <w:rsid w:val="00FB178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D19784C-B33D-427F-A115-2B2872CE8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6D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2335</Words>
  <Characters>12259</Characters>
  <Application>Microsoft Office Word</Application>
  <DocSecurity>0</DocSecurity>
  <Lines>280</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 Miscellaneous matters - South Carolina Legislature Online</dc:title>
  <dc:subject/>
  <dc:creator>Rebecca Landau</dc:creator>
  <cp:keywords/>
  <dc:description/>
  <cp:lastModifiedBy>S Volk</cp:lastModifiedBy>
  <cp:revision>2</cp:revision>
  <dcterms:created xsi:type="dcterms:W3CDTF">2019-01-15T16:46:00Z</dcterms:created>
  <dcterms:modified xsi:type="dcterms:W3CDTF">2019-01-15T16:46:00Z</dcterms:modified>
</cp:coreProperties>
</file>