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32C" w:rsidRDefault="004C632C" w:rsidP="004C632C">
      <w:pPr>
        <w:widowControl w:val="0"/>
        <w:jc w:val="center"/>
      </w:pPr>
      <w:r w:rsidRPr="004C632C">
        <w:rPr>
          <w:b/>
        </w:rPr>
        <w:t>South Carolina General Assembly</w:t>
      </w:r>
    </w:p>
    <w:p w:rsidR="004C632C" w:rsidRDefault="004C632C" w:rsidP="004C632C">
      <w:pPr>
        <w:widowControl w:val="0"/>
        <w:jc w:val="center"/>
      </w:pPr>
      <w:r>
        <w:t>123rd Session, 2019-2020</w:t>
      </w:r>
    </w:p>
    <w:p w:rsidR="004C632C" w:rsidRDefault="004C632C" w:rsidP="004C632C">
      <w:pPr>
        <w:widowControl w:val="0"/>
        <w:jc w:val="left"/>
      </w:pPr>
    </w:p>
    <w:p w:rsidR="004C632C" w:rsidRDefault="004C632C" w:rsidP="004C632C">
      <w:pPr>
        <w:widowControl w:val="0"/>
        <w:jc w:val="left"/>
        <w:rPr>
          <w:b/>
        </w:rPr>
      </w:pPr>
      <w:r w:rsidRPr="004C632C">
        <w:rPr>
          <w:b/>
        </w:rPr>
        <w:t>H. 3213</w:t>
      </w:r>
    </w:p>
    <w:p w:rsidR="004C632C" w:rsidRDefault="004C632C" w:rsidP="004C632C">
      <w:pPr>
        <w:widowControl w:val="0"/>
        <w:jc w:val="left"/>
        <w:rPr>
          <w:b/>
        </w:rPr>
      </w:pPr>
    </w:p>
    <w:p w:rsidR="004C632C" w:rsidRDefault="004C632C" w:rsidP="004C632C">
      <w:pPr>
        <w:widowControl w:val="0"/>
        <w:jc w:val="left"/>
      </w:pPr>
      <w:r w:rsidRPr="004C632C">
        <w:rPr>
          <w:b/>
        </w:rPr>
        <w:t>STATUS INFORMATION</w:t>
      </w:r>
    </w:p>
    <w:p w:rsidR="004C632C" w:rsidRDefault="004C632C" w:rsidP="004C632C">
      <w:pPr>
        <w:widowControl w:val="0"/>
        <w:jc w:val="left"/>
      </w:pPr>
    </w:p>
    <w:p w:rsidR="004C632C" w:rsidRDefault="004C632C" w:rsidP="004C632C">
      <w:pPr>
        <w:widowControl w:val="0"/>
        <w:jc w:val="left"/>
      </w:pPr>
      <w:r>
        <w:t>General Bill</w:t>
      </w:r>
    </w:p>
    <w:p w:rsidR="004C632C" w:rsidRDefault="00435EA2" w:rsidP="004C632C">
      <w:pPr>
        <w:widowControl w:val="0"/>
        <w:jc w:val="left"/>
      </w:pPr>
      <w:r>
        <w:t>Sponsors: Reps. Pendarvis and Clyburn</w:t>
      </w:r>
    </w:p>
    <w:p w:rsidR="004C632C" w:rsidRDefault="004C632C" w:rsidP="004C632C">
      <w:pPr>
        <w:widowControl w:val="0"/>
        <w:jc w:val="left"/>
      </w:pPr>
      <w:r>
        <w:t>Document Path: l:\council\bills\nbd\11015dg19.docx</w:t>
      </w:r>
    </w:p>
    <w:p w:rsidR="004C632C" w:rsidRDefault="004C632C" w:rsidP="004C632C">
      <w:pPr>
        <w:widowControl w:val="0"/>
        <w:jc w:val="left"/>
      </w:pPr>
    </w:p>
    <w:p w:rsidR="00973773" w:rsidRDefault="00973773" w:rsidP="004C632C">
      <w:pPr>
        <w:widowControl w:val="0"/>
        <w:jc w:val="left"/>
      </w:pPr>
      <w:r>
        <w:t>Introduced in the House on January 8, 2019</w:t>
      </w:r>
    </w:p>
    <w:p w:rsidR="00973773" w:rsidRPr="00973773" w:rsidRDefault="00973773" w:rsidP="004C632C">
      <w:pPr>
        <w:widowControl w:val="0"/>
        <w:jc w:val="left"/>
      </w:pPr>
      <w:r>
        <w:t xml:space="preserve">Currently residing in the House Committee on </w:t>
      </w:r>
      <w:r w:rsidRPr="00973773">
        <w:rPr>
          <w:b/>
        </w:rPr>
        <w:t>Ways and Means</w:t>
      </w:r>
    </w:p>
    <w:p w:rsidR="00973773" w:rsidRDefault="00973773" w:rsidP="004C632C">
      <w:pPr>
        <w:widowControl w:val="0"/>
        <w:jc w:val="left"/>
      </w:pPr>
    </w:p>
    <w:p w:rsidR="004C632C" w:rsidRDefault="004C632C" w:rsidP="004C632C">
      <w:pPr>
        <w:widowControl w:val="0"/>
        <w:jc w:val="left"/>
      </w:pPr>
      <w:r>
        <w:t xml:space="preserve">Summary: </w:t>
      </w:r>
      <w:r w:rsidR="00BF6DAC">
        <w:t>Income Tax credit</w:t>
      </w:r>
    </w:p>
    <w:p w:rsidR="004C632C" w:rsidRDefault="004C632C" w:rsidP="004C632C">
      <w:pPr>
        <w:widowControl w:val="0"/>
        <w:jc w:val="left"/>
      </w:pPr>
    </w:p>
    <w:p w:rsidR="004C632C" w:rsidRDefault="004C632C" w:rsidP="004C632C">
      <w:pPr>
        <w:widowControl w:val="0"/>
        <w:jc w:val="left"/>
      </w:pPr>
    </w:p>
    <w:p w:rsidR="004C632C" w:rsidRDefault="004C632C" w:rsidP="004C632C">
      <w:pPr>
        <w:widowControl w:val="0"/>
        <w:tabs>
          <w:tab w:val="center" w:pos="590"/>
          <w:tab w:val="center" w:pos="1440"/>
          <w:tab w:val="left" w:pos="1872"/>
          <w:tab w:val="left" w:pos="9187"/>
        </w:tabs>
        <w:jc w:val="left"/>
      </w:pPr>
      <w:r w:rsidRPr="004C632C">
        <w:rPr>
          <w:b/>
        </w:rPr>
        <w:t>HISTORY OF LEGISLATIVE ACTIONS</w:t>
      </w:r>
    </w:p>
    <w:p w:rsidR="004C632C" w:rsidRDefault="004C632C" w:rsidP="004C632C">
      <w:pPr>
        <w:widowControl w:val="0"/>
        <w:tabs>
          <w:tab w:val="center" w:pos="590"/>
          <w:tab w:val="center" w:pos="1440"/>
          <w:tab w:val="left" w:pos="1872"/>
          <w:tab w:val="left" w:pos="9187"/>
        </w:tabs>
        <w:jc w:val="left"/>
      </w:pPr>
    </w:p>
    <w:p w:rsidR="004C632C" w:rsidRPr="004C632C" w:rsidRDefault="004C632C" w:rsidP="004C632C">
      <w:pPr>
        <w:widowControl w:val="0"/>
        <w:tabs>
          <w:tab w:val="center" w:pos="590"/>
          <w:tab w:val="center" w:pos="1440"/>
          <w:tab w:val="left" w:pos="1872"/>
          <w:tab w:val="left" w:pos="9187"/>
        </w:tabs>
        <w:jc w:val="left"/>
      </w:pPr>
      <w:r w:rsidRPr="004C632C">
        <w:rPr>
          <w:u w:val="single"/>
        </w:rPr>
        <w:tab/>
        <w:t>Date</w:t>
      </w:r>
      <w:r w:rsidRPr="004C632C">
        <w:rPr>
          <w:u w:val="single"/>
        </w:rPr>
        <w:tab/>
        <w:t>Body</w:t>
      </w:r>
      <w:r w:rsidRPr="004C632C">
        <w:rPr>
          <w:u w:val="single"/>
        </w:rPr>
        <w:tab/>
        <w:t>Action Description with journal page number</w:t>
      </w:r>
      <w:r w:rsidRPr="004C632C">
        <w:rPr>
          <w:u w:val="single"/>
        </w:rPr>
        <w:tab/>
      </w:r>
    </w:p>
    <w:p w:rsidR="000A3B4F" w:rsidRDefault="000A3B4F" w:rsidP="000A3B4F">
      <w:pPr>
        <w:widowControl w:val="0"/>
        <w:tabs>
          <w:tab w:val="right" w:pos="1008"/>
          <w:tab w:val="left" w:pos="1152"/>
          <w:tab w:val="left" w:pos="1872"/>
          <w:tab w:val="left" w:pos="9187"/>
        </w:tabs>
        <w:ind w:left="2088" w:hanging="2088"/>
        <w:jc w:val="left"/>
      </w:pPr>
      <w:r>
        <w:tab/>
        <w:t>12/18/2018</w:t>
      </w:r>
      <w:r>
        <w:tab/>
        <w:t>House</w:t>
      </w:r>
      <w:r>
        <w:tab/>
      </w:r>
      <w:r w:rsidRPr="003F1E17">
        <w:t>Prefiled</w:t>
      </w:r>
    </w:p>
    <w:p w:rsidR="000A3B4F" w:rsidRDefault="000A3B4F" w:rsidP="000A3B4F">
      <w:pPr>
        <w:widowControl w:val="0"/>
        <w:tabs>
          <w:tab w:val="right" w:pos="1008"/>
          <w:tab w:val="left" w:pos="1152"/>
          <w:tab w:val="left" w:pos="1872"/>
          <w:tab w:val="left" w:pos="9187"/>
        </w:tabs>
        <w:ind w:left="2088" w:hanging="2088"/>
        <w:jc w:val="left"/>
      </w:pPr>
      <w:r>
        <w:tab/>
        <w:t>12/18/2018</w:t>
      </w:r>
      <w:r>
        <w:tab/>
        <w:t>House</w:t>
      </w:r>
      <w:r>
        <w:tab/>
      </w:r>
      <w:r w:rsidRPr="003F1E17">
        <w:t xml:space="preserve">Referred to Committee on </w:t>
      </w:r>
      <w:r w:rsidRPr="003F1E17">
        <w:rPr>
          <w:b/>
        </w:rPr>
        <w:t>Ways and Means</w:t>
      </w:r>
    </w:p>
    <w:p w:rsidR="000A3B4F" w:rsidRDefault="000A3B4F" w:rsidP="000A3B4F">
      <w:pPr>
        <w:widowControl w:val="0"/>
        <w:tabs>
          <w:tab w:val="right" w:pos="1008"/>
          <w:tab w:val="left" w:pos="1152"/>
          <w:tab w:val="left" w:pos="1872"/>
          <w:tab w:val="left" w:pos="9187"/>
        </w:tabs>
        <w:ind w:left="2088" w:hanging="2088"/>
        <w:jc w:val="left"/>
      </w:pPr>
      <w:r>
        <w:tab/>
        <w:t>1/8/2019</w:t>
      </w:r>
      <w:r>
        <w:tab/>
        <w:t>House</w:t>
      </w:r>
      <w:r>
        <w:tab/>
      </w:r>
      <w:r w:rsidRPr="003F1E17">
        <w:t>Introduced and read first time (</w:t>
      </w:r>
      <w:hyperlink r:id="rId7" w:history="1">
        <w:r w:rsidRPr="003F1E17">
          <w:rPr>
            <w:rStyle w:val="Hyperlink"/>
          </w:rPr>
          <w:t>House Journal</w:t>
        </w:r>
        <w:r w:rsidRPr="003F1E17">
          <w:rPr>
            <w:rStyle w:val="Hyperlink"/>
          </w:rPr>
          <w:noBreakHyphen/>
          <w:t>page 129</w:t>
        </w:r>
      </w:hyperlink>
      <w:r w:rsidRPr="003F1E17">
        <w:t>)</w:t>
      </w:r>
    </w:p>
    <w:p w:rsidR="000A3B4F" w:rsidRDefault="000A3B4F" w:rsidP="000A3B4F">
      <w:pPr>
        <w:widowControl w:val="0"/>
        <w:tabs>
          <w:tab w:val="right" w:pos="1008"/>
          <w:tab w:val="left" w:pos="1152"/>
          <w:tab w:val="left" w:pos="1872"/>
          <w:tab w:val="left" w:pos="9187"/>
        </w:tabs>
        <w:ind w:left="2088" w:hanging="2088"/>
        <w:jc w:val="left"/>
      </w:pPr>
      <w:r>
        <w:tab/>
        <w:t>1/8/2019</w:t>
      </w:r>
      <w:r>
        <w:tab/>
        <w:t>House</w:t>
      </w:r>
      <w:r>
        <w:tab/>
      </w:r>
      <w:r w:rsidRPr="003F1E17">
        <w:t>Referred</w:t>
      </w:r>
      <w:r>
        <w:t xml:space="preserve"> to Committee on </w:t>
      </w:r>
      <w:r w:rsidRPr="003F1E17">
        <w:rPr>
          <w:b/>
        </w:rPr>
        <w:t>Ways and Means</w:t>
      </w:r>
      <w:r>
        <w:t xml:space="preserve"> </w:t>
      </w:r>
      <w:r w:rsidRPr="003F1E17">
        <w:t>(</w:t>
      </w:r>
      <w:hyperlink r:id="rId8" w:history="1">
        <w:r w:rsidRPr="003F1E17">
          <w:rPr>
            <w:rStyle w:val="Hyperlink"/>
          </w:rPr>
          <w:t>House Journal</w:t>
        </w:r>
        <w:r w:rsidRPr="003F1E17">
          <w:rPr>
            <w:rStyle w:val="Hyperlink"/>
          </w:rPr>
          <w:noBreakHyphen/>
          <w:t>page 129</w:t>
        </w:r>
      </w:hyperlink>
      <w:r w:rsidRPr="003F1E17">
        <w:t>)</w:t>
      </w:r>
    </w:p>
    <w:p w:rsidR="000A3B4F" w:rsidRDefault="000A3B4F" w:rsidP="000A3B4F">
      <w:pPr>
        <w:widowControl w:val="0"/>
        <w:tabs>
          <w:tab w:val="right" w:pos="1008"/>
          <w:tab w:val="left" w:pos="1152"/>
          <w:tab w:val="left" w:pos="1872"/>
          <w:tab w:val="left" w:pos="9187"/>
        </w:tabs>
        <w:ind w:left="2088" w:hanging="2088"/>
        <w:jc w:val="left"/>
      </w:pPr>
    </w:p>
    <w:p w:rsidR="004C632C" w:rsidRDefault="004C632C" w:rsidP="004C63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632C">
          <w:rPr>
            <w:rStyle w:val="Hyperlink"/>
          </w:rPr>
          <w:t>legislative information</w:t>
        </w:r>
      </w:hyperlink>
      <w:r>
        <w:t xml:space="preserve"> at the website</w:t>
      </w:r>
    </w:p>
    <w:p w:rsidR="004C632C" w:rsidRDefault="004C632C" w:rsidP="004C632C">
      <w:pPr>
        <w:widowControl w:val="0"/>
        <w:tabs>
          <w:tab w:val="right" w:pos="1008"/>
          <w:tab w:val="left" w:pos="1152"/>
          <w:tab w:val="left" w:pos="1872"/>
          <w:tab w:val="left" w:pos="9187"/>
        </w:tabs>
        <w:ind w:left="2088" w:hanging="2088"/>
        <w:jc w:val="left"/>
      </w:pPr>
    </w:p>
    <w:p w:rsidR="004C632C" w:rsidRPr="004C632C" w:rsidRDefault="004C632C" w:rsidP="004C632C">
      <w:pPr>
        <w:widowControl w:val="0"/>
        <w:tabs>
          <w:tab w:val="right" w:pos="1008"/>
          <w:tab w:val="left" w:pos="1152"/>
          <w:tab w:val="left" w:pos="1872"/>
          <w:tab w:val="left" w:pos="9187"/>
        </w:tabs>
        <w:ind w:left="2088" w:hanging="2088"/>
        <w:jc w:val="left"/>
      </w:pPr>
    </w:p>
    <w:p w:rsidR="004C632C" w:rsidRDefault="004C632C" w:rsidP="004C632C">
      <w:pPr>
        <w:widowControl w:val="0"/>
        <w:jc w:val="left"/>
      </w:pPr>
      <w:r w:rsidRPr="004C632C">
        <w:rPr>
          <w:b/>
        </w:rPr>
        <w:t>VERSIONS OF THIS BILL</w:t>
      </w:r>
    </w:p>
    <w:p w:rsidR="004C632C" w:rsidRDefault="004C632C" w:rsidP="004C632C">
      <w:pPr>
        <w:widowControl w:val="0"/>
        <w:jc w:val="left"/>
      </w:pPr>
    </w:p>
    <w:p w:rsidR="004C632C" w:rsidRDefault="004C08E3" w:rsidP="004C632C">
      <w:pPr>
        <w:widowControl w:val="0"/>
        <w:jc w:val="left"/>
      </w:pPr>
      <w:hyperlink r:id="rId10" w:history="1">
        <w:r w:rsidR="004C632C">
          <w:rPr>
            <w:rStyle w:val="Hyperlink"/>
          </w:rPr>
          <w:t>12/18/2018</w:t>
        </w:r>
      </w:hyperlink>
    </w:p>
    <w:p w:rsidR="004C632C" w:rsidRDefault="004C632C" w:rsidP="004C632C"/>
    <w:p w:rsidR="004C632C" w:rsidRDefault="004C632C" w:rsidP="004C632C">
      <w:pPr>
        <w:sectPr w:rsidR="004C632C" w:rsidSect="004C632C">
          <w:pgSz w:w="12240" w:h="15840" w:code="1"/>
          <w:pgMar w:top="1080" w:right="1440" w:bottom="1080" w:left="1440" w:header="720" w:footer="720" w:gutter="0"/>
          <w:cols w:space="720"/>
          <w:noEndnote/>
          <w:docGrid w:linePitch="360"/>
        </w:sectPr>
      </w:pPr>
    </w:p>
    <w:p w:rsidR="00930045" w:rsidRDefault="00930045"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E6" w:rsidRDefault="001D16E6" w:rsidP="001D1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3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A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042C">
        <w:rPr>
          <w:color w:val="000000" w:themeColor="text1"/>
          <w:u w:color="000000" w:themeColor="text1"/>
        </w:rPr>
        <w:t xml:space="preserve">TO AMEND THE CODE OF LAWS OF SOUTH CAROLINA, 1976, TO ENACT THE </w:t>
      </w:r>
      <w:r>
        <w:rPr>
          <w:color w:val="000000" w:themeColor="text1"/>
          <w:u w:color="000000" w:themeColor="text1"/>
        </w:rPr>
        <w:t>“</w:t>
      </w:r>
      <w:r w:rsidRPr="00F3042C">
        <w:rPr>
          <w:color w:val="000000" w:themeColor="text1"/>
          <w:u w:color="000000" w:themeColor="text1"/>
        </w:rPr>
        <w:t>RENT RELIEF ACT</w:t>
      </w:r>
      <w:r>
        <w:rPr>
          <w:color w:val="000000" w:themeColor="text1"/>
          <w:u w:color="000000" w:themeColor="text1"/>
        </w:rPr>
        <w:t>”</w:t>
      </w:r>
      <w:r w:rsidRPr="00F3042C">
        <w:rPr>
          <w:color w:val="000000" w:themeColor="text1"/>
          <w:u w:color="000000" w:themeColor="text1"/>
        </w:rPr>
        <w:t xml:space="preserve"> BY ADDING SECTION 12</w:t>
      </w:r>
      <w:r>
        <w:rPr>
          <w:color w:val="000000" w:themeColor="text1"/>
          <w:u w:color="000000" w:themeColor="text1"/>
        </w:rPr>
        <w:noBreakHyphen/>
      </w:r>
      <w:r w:rsidRPr="00F3042C">
        <w:rPr>
          <w:color w:val="000000" w:themeColor="text1"/>
          <w:u w:color="000000" w:themeColor="text1"/>
        </w:rPr>
        <w:t>6</w:t>
      </w:r>
      <w:r>
        <w:rPr>
          <w:color w:val="000000" w:themeColor="text1"/>
          <w:u w:color="000000" w:themeColor="text1"/>
        </w:rPr>
        <w:noBreakHyphen/>
      </w:r>
      <w:r w:rsidRPr="00F3042C">
        <w:rPr>
          <w:color w:val="000000" w:themeColor="text1"/>
          <w:u w:color="000000" w:themeColor="text1"/>
        </w:rPr>
        <w:t xml:space="preserve">3785 </w:t>
      </w:r>
      <w:r w:rsidR="00484F14" w:rsidRPr="00F3042C">
        <w:rPr>
          <w:color w:val="000000" w:themeColor="text1"/>
          <w:u w:color="000000" w:themeColor="text1"/>
        </w:rPr>
        <w:t xml:space="preserve">SO AS </w:t>
      </w:r>
      <w:r w:rsidRPr="00F3042C">
        <w:rPr>
          <w:color w:val="000000" w:themeColor="text1"/>
          <w:u w:color="000000" w:themeColor="text1"/>
        </w:rPr>
        <w:t>TO ALLOW A REFUNDABLE INDIVIDUAL INCOME TAX CREDIT FOR CERTAIN INDIVIDUALS WHO HAVE PAID MORE THAN THIRTY PERCENT OF THEIR ADJUSTED GROSS INCOME ON RENT IN THE TAXABLE YEAR, AND TO ESTABLISH THE METHOD IN WHICH THE CREDIT AMOUNT IS DETERMINED</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36B" w:rsidRDefault="00463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36B" w:rsidRDefault="00463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SECTION</w:t>
      </w:r>
      <w:r w:rsidRPr="00F3042C">
        <w:rPr>
          <w:color w:val="000000" w:themeColor="text1"/>
          <w:u w:color="000000" w:themeColor="text1"/>
        </w:rPr>
        <w:tab/>
        <w:t>1.</w:t>
      </w:r>
      <w:r w:rsidRPr="00F3042C">
        <w:rPr>
          <w:color w:val="000000" w:themeColor="text1"/>
          <w:u w:color="000000" w:themeColor="text1"/>
        </w:rPr>
        <w:tab/>
        <w:t xml:space="preserve">This Act may be cited as the </w:t>
      </w:r>
      <w:r>
        <w:rPr>
          <w:color w:val="000000" w:themeColor="text1"/>
          <w:u w:color="000000" w:themeColor="text1"/>
        </w:rPr>
        <w:t>“</w:t>
      </w:r>
      <w:r w:rsidRPr="00F3042C">
        <w:rPr>
          <w:color w:val="000000" w:themeColor="text1"/>
          <w:u w:color="000000" w:themeColor="text1"/>
        </w:rPr>
        <w:t>Rent Relief Act</w:t>
      </w:r>
      <w:r>
        <w:rPr>
          <w:color w:val="000000" w:themeColor="text1"/>
          <w:u w:color="000000" w:themeColor="text1"/>
        </w:rPr>
        <w:t>”</w:t>
      </w:r>
      <w:r w:rsidRPr="00F3042C">
        <w:rPr>
          <w:color w:val="000000" w:themeColor="text1"/>
          <w:u w:color="000000" w:themeColor="text1"/>
        </w:rPr>
        <w:t>.</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SECTION</w:t>
      </w:r>
      <w:r w:rsidRPr="00F3042C">
        <w:rPr>
          <w:color w:val="000000" w:themeColor="text1"/>
          <w:u w:color="000000" w:themeColor="text1"/>
        </w:rPr>
        <w:tab/>
        <w:t>2.</w:t>
      </w:r>
      <w:r w:rsidRPr="00F3042C">
        <w:rPr>
          <w:color w:val="000000" w:themeColor="text1"/>
          <w:u w:color="000000" w:themeColor="text1"/>
        </w:rPr>
        <w:tab/>
        <w:t>Article 25, Chapter 6, Title 12 of the 1976 Code is amended by adding:</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ab/>
        <w:t>“Section 12</w:t>
      </w:r>
      <w:r>
        <w:rPr>
          <w:color w:val="000000" w:themeColor="text1"/>
          <w:u w:color="000000" w:themeColor="text1"/>
        </w:rPr>
        <w:noBreakHyphen/>
      </w:r>
      <w:r w:rsidRPr="00F3042C">
        <w:rPr>
          <w:color w:val="000000" w:themeColor="text1"/>
          <w:u w:color="000000" w:themeColor="text1"/>
        </w:rPr>
        <w:t>6</w:t>
      </w:r>
      <w:r>
        <w:rPr>
          <w:color w:val="000000" w:themeColor="text1"/>
          <w:u w:color="000000" w:themeColor="text1"/>
        </w:rPr>
        <w:noBreakHyphen/>
      </w:r>
      <w:r w:rsidRPr="00F3042C">
        <w:rPr>
          <w:color w:val="000000" w:themeColor="text1"/>
          <w:u w:color="000000" w:themeColor="text1"/>
        </w:rPr>
        <w:t>3785.</w:t>
      </w:r>
      <w:r w:rsidRPr="00F3042C">
        <w:rPr>
          <w:color w:val="000000" w:themeColor="text1"/>
          <w:u w:color="000000" w:themeColor="text1"/>
        </w:rPr>
        <w:tab/>
        <w:t>(A)</w:t>
      </w:r>
      <w:r w:rsidRPr="00F3042C">
        <w:rPr>
          <w:color w:val="000000" w:themeColor="text1"/>
          <w:u w:color="000000" w:themeColor="text1"/>
        </w:rPr>
        <w:tab/>
        <w:t>There is allowed a refundable income tax credit for any resident individual who has an adjusted gross income of less than $35,000 who has paid more than thirty percent of the individual</w:t>
      </w:r>
      <w:r w:rsidRPr="00FC2ABE">
        <w:rPr>
          <w:color w:val="000000" w:themeColor="text1"/>
          <w:u w:color="000000" w:themeColor="text1"/>
        </w:rPr>
        <w:t>’</w:t>
      </w:r>
      <w:r w:rsidRPr="00F3042C">
        <w:rPr>
          <w:color w:val="000000" w:themeColor="text1"/>
          <w:u w:color="000000" w:themeColor="text1"/>
        </w:rPr>
        <w:t>s adjusted gross income on rent for the individual</w:t>
      </w:r>
      <w:r w:rsidRPr="00FC2ABE">
        <w:rPr>
          <w:color w:val="000000" w:themeColor="text1"/>
          <w:u w:color="000000" w:themeColor="text1"/>
        </w:rPr>
        <w:t>’</w:t>
      </w:r>
      <w:r w:rsidRPr="00F3042C">
        <w:rPr>
          <w:color w:val="000000" w:themeColor="text1"/>
          <w:u w:color="000000" w:themeColor="text1"/>
        </w:rPr>
        <w:t>s principal residence, within the meaning of Section 121 of the Internal Revenue Code.  The amount of the credit is equal to the difference between the amount paid on rent in the year for which the credit is claimed and thirty percent of the individual</w:t>
      </w:r>
      <w:r w:rsidRPr="00FC2ABE">
        <w:rPr>
          <w:color w:val="000000" w:themeColor="text1"/>
          <w:u w:color="000000" w:themeColor="text1"/>
        </w:rPr>
        <w:t>’</w:t>
      </w:r>
      <w:r w:rsidRPr="00F3042C">
        <w:rPr>
          <w:color w:val="000000" w:themeColor="text1"/>
          <w:u w:color="000000" w:themeColor="text1"/>
        </w:rPr>
        <w:t xml:space="preserve">s adjusted gross income in the applicable tax year, but not to exceed $3,600 in a taxable year. </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ab/>
        <w:t>(B)</w:t>
      </w:r>
      <w:r w:rsidRPr="00F3042C">
        <w:rPr>
          <w:color w:val="000000" w:themeColor="text1"/>
          <w:u w:color="000000" w:themeColor="text1"/>
        </w:rPr>
        <w:tab/>
        <w:t xml:space="preserve">The Department of Revenue may promulgate regulations and adopt rules necessary to implement the credit allowed by this section, including, but not limited to, provisions necessary to </w:t>
      </w:r>
      <w:r w:rsidRPr="00F3042C">
        <w:rPr>
          <w:color w:val="000000" w:themeColor="text1"/>
          <w:u w:color="000000" w:themeColor="text1"/>
        </w:rPr>
        <w:lastRenderedPageBreak/>
        <w:t>account for a part</w:t>
      </w:r>
      <w:r>
        <w:rPr>
          <w:color w:val="000000" w:themeColor="text1"/>
          <w:u w:color="000000" w:themeColor="text1"/>
        </w:rPr>
        <w:noBreakHyphen/>
      </w:r>
      <w:r w:rsidRPr="00F3042C">
        <w:rPr>
          <w:color w:val="000000" w:themeColor="text1"/>
          <w:u w:color="000000" w:themeColor="text1"/>
        </w:rPr>
        <w:t>year resident and the documentation necessary to prove amounts paid for rent.</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042C">
        <w:rPr>
          <w:color w:val="000000" w:themeColor="text1"/>
          <w:u w:color="000000" w:themeColor="text1"/>
        </w:rPr>
        <w:tab/>
        <w:t>(C)</w:t>
      </w:r>
      <w:r w:rsidRPr="00F3042C">
        <w:rPr>
          <w:color w:val="000000" w:themeColor="text1"/>
          <w:u w:color="000000" w:themeColor="text1"/>
        </w:rPr>
        <w:tab/>
        <w:t>For purposes of this section, rent includes any amount paid for utilities of a type taken into account for purposes of determining the utility allowance under Section 42(g)(2)(B)(ii) of the Internal Revenue Code.”</w:t>
      </w:r>
    </w:p>
    <w:p w:rsidR="00FC2ABE" w:rsidRPr="00F3042C"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36B" w:rsidRDefault="00FC2ABE" w:rsidP="00FC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42C">
        <w:rPr>
          <w:color w:val="000000" w:themeColor="text1"/>
          <w:u w:color="000000" w:themeColor="text1"/>
        </w:rPr>
        <w:t>SECTION</w:t>
      </w:r>
      <w:r w:rsidRPr="00F3042C">
        <w:rPr>
          <w:color w:val="000000" w:themeColor="text1"/>
          <w:u w:color="000000" w:themeColor="text1"/>
        </w:rPr>
        <w:tab/>
        <w:t>3.</w:t>
      </w:r>
      <w:r w:rsidRPr="00F3042C">
        <w:rPr>
          <w:color w:val="000000" w:themeColor="text1"/>
          <w:u w:color="000000" w:themeColor="text1"/>
        </w:rPr>
        <w:tab/>
        <w:t>This act takes effect upon approval by the Governor and applies for tax years and rent paid after 2018.</w:t>
      </w:r>
    </w:p>
    <w:p w:rsidR="001431A2" w:rsidRDefault="00FC2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32C" w:rsidRDefault="004C632C" w:rsidP="004C632C">
      <w:pPr>
        <w:suppressAutoHyphens/>
      </w:pPr>
    </w:p>
    <w:sectPr w:rsidR="004C632C" w:rsidSect="004C63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36B" w:rsidRDefault="0046336B" w:rsidP="009F0C77">
      <w:r>
        <w:separator/>
      </w:r>
    </w:p>
  </w:endnote>
  <w:endnote w:type="continuationSeparator" w:id="0">
    <w:p w:rsidR="0046336B" w:rsidRDefault="00463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508FD1-87C2-4427-96CA-D35A264099D8}"/>
    <w:embedBold r:id="rId2" w:fontKey="{90D7FAE9-AE9A-44B4-B0EF-660D52467020}"/>
  </w:font>
  <w:font w:name="Calibri">
    <w:panose1 w:val="020F0502020204030204"/>
    <w:charset w:val="00"/>
    <w:family w:val="swiss"/>
    <w:pitch w:val="variable"/>
    <w:sig w:usb0="E00002FF" w:usb1="4000ACFF" w:usb2="00000001" w:usb3="00000000" w:csb0="0000019F" w:csb1="00000000"/>
    <w:embedRegular r:id="rId3" w:fontKey="{2DA01452-5048-44FE-9E99-F29CFFCEFE09}"/>
  </w:font>
  <w:font w:name="Cambria">
    <w:panose1 w:val="02040503050406030204"/>
    <w:charset w:val="00"/>
    <w:family w:val="roman"/>
    <w:pitch w:val="variable"/>
    <w:sig w:usb0="E00002FF" w:usb1="400004FF" w:usb2="00000000" w:usb3="00000000" w:csb0="0000019F" w:csb1="00000000"/>
    <w:embedRegular r:id="rId4" w:fontKey="{EA793C58-8C0B-4B5B-8505-9CAAE2647C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32C" w:rsidRPr="00930045" w:rsidRDefault="004C632C" w:rsidP="00930045">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sidR="00BF6D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36B" w:rsidRDefault="0046336B" w:rsidP="009F0C77">
      <w:r>
        <w:separator/>
      </w:r>
    </w:p>
  </w:footnote>
  <w:footnote w:type="continuationSeparator" w:id="0">
    <w:p w:rsidR="0046336B" w:rsidRDefault="00463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5DG19"/>
    <w:docVar w:name="CoverBillType" w:val="b"/>
    <w:docVar w:name="DocPath" w:val="L:\Council\bills\NBD\11015DG19.DOCX"/>
    <w:docVar w:name="dvBillNumber" w:val="3213"/>
    <w:docVar w:name="dvBillNumberPrefix" w:val="H. "/>
    <w:docVar w:name="dvOriginalBody" w:val="House"/>
    <w:docVar w:name="dvSteno" w:val="NBD"/>
    <w:docVar w:name="NameofBody" w:val="h"/>
    <w:docVar w:name="vGroup2" w:val="Council"/>
  </w:docVars>
  <w:rsids>
    <w:rsidRoot w:val="0046336B"/>
    <w:rsid w:val="00011869"/>
    <w:rsid w:val="00015CD6"/>
    <w:rsid w:val="000A3B4F"/>
    <w:rsid w:val="000E0100"/>
    <w:rsid w:val="000E1785"/>
    <w:rsid w:val="000F40FA"/>
    <w:rsid w:val="001035F1"/>
    <w:rsid w:val="0010776B"/>
    <w:rsid w:val="00133E66"/>
    <w:rsid w:val="001431A2"/>
    <w:rsid w:val="001435A3"/>
    <w:rsid w:val="00146ED3"/>
    <w:rsid w:val="00151044"/>
    <w:rsid w:val="001D08F2"/>
    <w:rsid w:val="001D16E6"/>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9A9"/>
    <w:rsid w:val="00435EA2"/>
    <w:rsid w:val="004403BD"/>
    <w:rsid w:val="00461441"/>
    <w:rsid w:val="0046336B"/>
    <w:rsid w:val="004809EE"/>
    <w:rsid w:val="00484F14"/>
    <w:rsid w:val="004C632C"/>
    <w:rsid w:val="004E7D54"/>
    <w:rsid w:val="005273C6"/>
    <w:rsid w:val="00530A69"/>
    <w:rsid w:val="00532B4C"/>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0045"/>
    <w:rsid w:val="0094021A"/>
    <w:rsid w:val="0097377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6DAC"/>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A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37FA68-9736-4761-817F-88102CEF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63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1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B851D-0FEA-4143-8177-83535CAFD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412</Words>
  <Characters>2127</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3213: Income Tax credit - South Carolina Legislature Online</dc:title>
  <dc:creator>Niki Downey</dc:creator>
  <cp:lastModifiedBy>S Volk</cp:lastModifiedBy>
  <cp:revision>2</cp:revision>
  <cp:lastPrinted>2018-11-28T13:36:00Z</cp:lastPrinted>
  <dcterms:created xsi:type="dcterms:W3CDTF">2019-02-01T21:47:00Z</dcterms:created>
  <dcterms:modified xsi:type="dcterms:W3CDTF">2019-02-01T21:47:00Z</dcterms:modified>
</cp:coreProperties>
</file>