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357" w:rsidRDefault="00C82357" w:rsidP="00C82357">
      <w:pPr>
        <w:widowControl w:val="0"/>
        <w:jc w:val="center"/>
      </w:pPr>
      <w:r w:rsidRPr="00C82357">
        <w:rPr>
          <w:b/>
        </w:rPr>
        <w:t>South Carolina General Assembly</w:t>
      </w:r>
    </w:p>
    <w:p w:rsidR="00C82357" w:rsidRDefault="00C82357" w:rsidP="00C82357">
      <w:pPr>
        <w:widowControl w:val="0"/>
        <w:jc w:val="center"/>
      </w:pPr>
      <w:r>
        <w:t>123rd Session, 2019-2020</w:t>
      </w:r>
    </w:p>
    <w:p w:rsidR="00C82357" w:rsidRDefault="00C82357" w:rsidP="00C82357">
      <w:pPr>
        <w:widowControl w:val="0"/>
        <w:jc w:val="left"/>
      </w:pPr>
    </w:p>
    <w:p w:rsidR="00C82357" w:rsidRDefault="00C82357" w:rsidP="00C82357">
      <w:pPr>
        <w:widowControl w:val="0"/>
        <w:jc w:val="left"/>
        <w:rPr>
          <w:b/>
        </w:rPr>
      </w:pPr>
      <w:r w:rsidRPr="00C82357">
        <w:rPr>
          <w:b/>
        </w:rPr>
        <w:t>S.</w:t>
      </w:r>
      <w:r>
        <w:rPr>
          <w:b/>
        </w:rPr>
        <w:t xml:space="preserve"> </w:t>
      </w:r>
      <w:r w:rsidRPr="00C82357">
        <w:rPr>
          <w:b/>
        </w:rPr>
        <w:t>361</w:t>
      </w:r>
    </w:p>
    <w:p w:rsidR="00C82357" w:rsidRDefault="00C82357" w:rsidP="00C82357">
      <w:pPr>
        <w:widowControl w:val="0"/>
        <w:jc w:val="left"/>
        <w:rPr>
          <w:b/>
        </w:rPr>
      </w:pPr>
    </w:p>
    <w:p w:rsidR="00C82357" w:rsidRDefault="00C82357" w:rsidP="00C82357">
      <w:pPr>
        <w:widowControl w:val="0"/>
        <w:jc w:val="left"/>
      </w:pPr>
      <w:r w:rsidRPr="00C82357">
        <w:rPr>
          <w:b/>
        </w:rPr>
        <w:t>STATUS INFORMATION</w:t>
      </w:r>
    </w:p>
    <w:p w:rsidR="00C82357" w:rsidRDefault="00C82357" w:rsidP="00C82357">
      <w:pPr>
        <w:widowControl w:val="0"/>
        <w:jc w:val="left"/>
      </w:pPr>
    </w:p>
    <w:p w:rsidR="00C82357" w:rsidRDefault="00C82357" w:rsidP="00C82357">
      <w:pPr>
        <w:widowControl w:val="0"/>
        <w:jc w:val="left"/>
      </w:pPr>
      <w:r>
        <w:t>General Bill</w:t>
      </w:r>
    </w:p>
    <w:p w:rsidR="00C82357" w:rsidRDefault="00C82357" w:rsidP="00C82357">
      <w:pPr>
        <w:widowControl w:val="0"/>
        <w:jc w:val="left"/>
      </w:pPr>
      <w:r>
        <w:t>Sponsors: Senator M.B. Matthews</w:t>
      </w:r>
    </w:p>
    <w:p w:rsidR="00C82357" w:rsidRDefault="00C82357" w:rsidP="00C82357">
      <w:pPr>
        <w:widowControl w:val="0"/>
        <w:jc w:val="left"/>
      </w:pPr>
      <w:r>
        <w:t>Document Path: l:\council\bills\rt\17520sa19.docx</w:t>
      </w:r>
    </w:p>
    <w:p w:rsidR="00C82357" w:rsidRDefault="00C82357" w:rsidP="00C82357">
      <w:pPr>
        <w:widowControl w:val="0"/>
        <w:jc w:val="left"/>
      </w:pPr>
    </w:p>
    <w:p w:rsidR="00C82357" w:rsidRDefault="00C82357" w:rsidP="00C82357">
      <w:pPr>
        <w:widowControl w:val="0"/>
        <w:jc w:val="left"/>
      </w:pPr>
      <w:r>
        <w:t>Introduced in the Senate on January 10, 2019</w:t>
      </w:r>
    </w:p>
    <w:p w:rsidR="00C82357" w:rsidRDefault="00C82357" w:rsidP="00C82357">
      <w:pPr>
        <w:widowControl w:val="0"/>
        <w:jc w:val="left"/>
      </w:pPr>
      <w:r>
        <w:t xml:space="preserve">Currently residing in the Senate Committee on </w:t>
      </w:r>
      <w:r w:rsidRPr="00C82357">
        <w:rPr>
          <w:b/>
        </w:rPr>
        <w:t>Judiciary</w:t>
      </w:r>
    </w:p>
    <w:p w:rsidR="00C82357" w:rsidRDefault="00C82357" w:rsidP="00C82357">
      <w:pPr>
        <w:widowControl w:val="0"/>
        <w:jc w:val="left"/>
      </w:pPr>
    </w:p>
    <w:p w:rsidR="00C82357" w:rsidRDefault="00C82357" w:rsidP="00C82357">
      <w:pPr>
        <w:widowControl w:val="0"/>
        <w:jc w:val="left"/>
      </w:pPr>
      <w:r>
        <w:t xml:space="preserve">Summary: </w:t>
      </w:r>
      <w:r w:rsidR="00594CD4">
        <w:t>Criminal sexual conduct</w:t>
      </w:r>
    </w:p>
    <w:p w:rsidR="00C82357" w:rsidRDefault="00C82357" w:rsidP="00C82357">
      <w:pPr>
        <w:widowControl w:val="0"/>
        <w:jc w:val="left"/>
      </w:pPr>
    </w:p>
    <w:p w:rsidR="00C82357" w:rsidRDefault="00C82357" w:rsidP="00C82357">
      <w:pPr>
        <w:widowControl w:val="0"/>
        <w:jc w:val="left"/>
      </w:pPr>
    </w:p>
    <w:p w:rsidR="00C82357" w:rsidRDefault="00C82357" w:rsidP="00C82357">
      <w:pPr>
        <w:widowControl w:val="0"/>
        <w:tabs>
          <w:tab w:val="center" w:pos="590"/>
          <w:tab w:val="center" w:pos="1440"/>
          <w:tab w:val="left" w:pos="1872"/>
          <w:tab w:val="left" w:pos="9187"/>
        </w:tabs>
        <w:jc w:val="left"/>
      </w:pPr>
      <w:r w:rsidRPr="00C82357">
        <w:rPr>
          <w:b/>
        </w:rPr>
        <w:t>HISTORY OF LEGISLATIVE ACTIONS</w:t>
      </w:r>
    </w:p>
    <w:p w:rsidR="00C82357" w:rsidRDefault="00C82357" w:rsidP="00C82357">
      <w:pPr>
        <w:widowControl w:val="0"/>
        <w:tabs>
          <w:tab w:val="center" w:pos="590"/>
          <w:tab w:val="center" w:pos="1440"/>
          <w:tab w:val="left" w:pos="1872"/>
          <w:tab w:val="left" w:pos="9187"/>
        </w:tabs>
        <w:jc w:val="left"/>
      </w:pPr>
    </w:p>
    <w:p w:rsidR="00C82357" w:rsidRPr="00C82357" w:rsidRDefault="00C82357" w:rsidP="00C82357">
      <w:pPr>
        <w:widowControl w:val="0"/>
        <w:tabs>
          <w:tab w:val="center" w:pos="590"/>
          <w:tab w:val="center" w:pos="1440"/>
          <w:tab w:val="left" w:pos="1872"/>
          <w:tab w:val="left" w:pos="9187"/>
        </w:tabs>
        <w:jc w:val="left"/>
      </w:pPr>
      <w:r w:rsidRPr="00C82357">
        <w:rPr>
          <w:u w:val="single"/>
        </w:rPr>
        <w:tab/>
        <w:t>Date</w:t>
      </w:r>
      <w:r w:rsidRPr="00C82357">
        <w:rPr>
          <w:u w:val="single"/>
        </w:rPr>
        <w:tab/>
        <w:t>Body</w:t>
      </w:r>
      <w:r w:rsidRPr="00C82357">
        <w:rPr>
          <w:u w:val="single"/>
        </w:rPr>
        <w:tab/>
        <w:t>Action Description with journal page number</w:t>
      </w:r>
      <w:r w:rsidRPr="00C82357">
        <w:rPr>
          <w:u w:val="single"/>
        </w:rPr>
        <w:tab/>
      </w:r>
    </w:p>
    <w:p w:rsidR="001726EA" w:rsidRDefault="001726EA" w:rsidP="001726EA">
      <w:pPr>
        <w:widowControl w:val="0"/>
        <w:tabs>
          <w:tab w:val="right" w:pos="1008"/>
          <w:tab w:val="left" w:pos="1152"/>
          <w:tab w:val="left" w:pos="1872"/>
          <w:tab w:val="left" w:pos="9187"/>
        </w:tabs>
        <w:ind w:left="2088" w:hanging="2088"/>
      </w:pPr>
      <w:r>
        <w:tab/>
        <w:t>1/10/2019</w:t>
      </w:r>
      <w:r>
        <w:tab/>
        <w:t>Senate</w:t>
      </w:r>
      <w:r>
        <w:tab/>
      </w:r>
      <w:r w:rsidRPr="00A21BEF">
        <w:t>Introduced and read first time (</w:t>
      </w:r>
      <w:hyperlink r:id="rId7" w:history="1">
        <w:r w:rsidRPr="00A21BEF">
          <w:rPr>
            <w:rStyle w:val="Hyperlink"/>
          </w:rPr>
          <w:t>Senate Journal</w:t>
        </w:r>
        <w:r w:rsidRPr="00A21BEF">
          <w:rPr>
            <w:rStyle w:val="Hyperlink"/>
          </w:rPr>
          <w:noBreakHyphen/>
          <w:t>page 6</w:t>
        </w:r>
      </w:hyperlink>
      <w:r w:rsidRPr="00A21BEF">
        <w:t>)</w:t>
      </w:r>
    </w:p>
    <w:p w:rsidR="001726EA" w:rsidRDefault="001726EA" w:rsidP="001726EA">
      <w:pPr>
        <w:widowControl w:val="0"/>
        <w:tabs>
          <w:tab w:val="right" w:pos="1008"/>
          <w:tab w:val="left" w:pos="1152"/>
          <w:tab w:val="left" w:pos="1872"/>
          <w:tab w:val="left" w:pos="9187"/>
        </w:tabs>
        <w:ind w:left="2088" w:hanging="2088"/>
      </w:pPr>
      <w:r>
        <w:tab/>
        <w:t>1/10/2019</w:t>
      </w:r>
      <w:r>
        <w:tab/>
        <w:t>Senate</w:t>
      </w:r>
      <w:r>
        <w:tab/>
      </w:r>
      <w:r w:rsidRPr="00A21BEF">
        <w:t>Ref</w:t>
      </w:r>
      <w:r>
        <w:t xml:space="preserve">erred to Committee on </w:t>
      </w:r>
      <w:r w:rsidRPr="00A21BEF">
        <w:rPr>
          <w:b/>
        </w:rPr>
        <w:t>Judiciary</w:t>
      </w:r>
      <w:r>
        <w:t xml:space="preserve"> </w:t>
      </w:r>
      <w:r w:rsidRPr="00A21BEF">
        <w:t>(</w:t>
      </w:r>
      <w:hyperlink r:id="rId8" w:history="1">
        <w:r w:rsidRPr="00A21BEF">
          <w:rPr>
            <w:rStyle w:val="Hyperlink"/>
          </w:rPr>
          <w:t>Senate Journal</w:t>
        </w:r>
        <w:r w:rsidRPr="00A21BEF">
          <w:rPr>
            <w:rStyle w:val="Hyperlink"/>
          </w:rPr>
          <w:noBreakHyphen/>
          <w:t>page 6</w:t>
        </w:r>
      </w:hyperlink>
      <w:r w:rsidRPr="00A21BEF">
        <w:t>)</w:t>
      </w:r>
    </w:p>
    <w:p w:rsidR="001726EA" w:rsidRDefault="001726EA" w:rsidP="001726EA">
      <w:pPr>
        <w:widowControl w:val="0"/>
        <w:tabs>
          <w:tab w:val="right" w:pos="1008"/>
          <w:tab w:val="left" w:pos="1152"/>
          <w:tab w:val="left" w:pos="1872"/>
          <w:tab w:val="left" w:pos="9187"/>
        </w:tabs>
        <w:ind w:left="2088" w:hanging="2088"/>
      </w:pPr>
    </w:p>
    <w:p w:rsidR="00C82357" w:rsidRDefault="00C82357" w:rsidP="00C823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82357">
          <w:rPr>
            <w:rStyle w:val="Hyperlink"/>
          </w:rPr>
          <w:t>legislative information</w:t>
        </w:r>
      </w:hyperlink>
      <w:r>
        <w:t xml:space="preserve"> at the website</w:t>
      </w:r>
    </w:p>
    <w:p w:rsidR="00C82357" w:rsidRDefault="00C82357" w:rsidP="00C82357">
      <w:pPr>
        <w:widowControl w:val="0"/>
        <w:tabs>
          <w:tab w:val="right" w:pos="1008"/>
          <w:tab w:val="left" w:pos="1152"/>
          <w:tab w:val="left" w:pos="1872"/>
          <w:tab w:val="left" w:pos="9187"/>
        </w:tabs>
        <w:ind w:left="2088" w:hanging="2088"/>
        <w:jc w:val="left"/>
      </w:pPr>
    </w:p>
    <w:p w:rsidR="00C82357" w:rsidRPr="00C82357" w:rsidRDefault="00C82357" w:rsidP="00C82357">
      <w:pPr>
        <w:widowControl w:val="0"/>
        <w:tabs>
          <w:tab w:val="right" w:pos="1008"/>
          <w:tab w:val="left" w:pos="1152"/>
          <w:tab w:val="left" w:pos="1872"/>
          <w:tab w:val="left" w:pos="9187"/>
        </w:tabs>
        <w:ind w:left="2088" w:hanging="2088"/>
        <w:jc w:val="left"/>
      </w:pPr>
    </w:p>
    <w:p w:rsidR="00C82357" w:rsidRDefault="00C82357" w:rsidP="00C82357">
      <w:pPr>
        <w:widowControl w:val="0"/>
        <w:jc w:val="left"/>
      </w:pPr>
      <w:r w:rsidRPr="00C82357">
        <w:rPr>
          <w:b/>
        </w:rPr>
        <w:t>VERSIONS OF THIS BILL</w:t>
      </w:r>
    </w:p>
    <w:p w:rsidR="00C82357" w:rsidRDefault="00C82357" w:rsidP="00C82357">
      <w:pPr>
        <w:widowControl w:val="0"/>
        <w:jc w:val="left"/>
      </w:pPr>
    </w:p>
    <w:p w:rsidR="00C82357" w:rsidRDefault="008B7E28" w:rsidP="00C82357">
      <w:pPr>
        <w:widowControl w:val="0"/>
        <w:jc w:val="left"/>
      </w:pPr>
      <w:hyperlink r:id="rId10" w:history="1">
        <w:r w:rsidR="00C82357">
          <w:rPr>
            <w:rStyle w:val="Hyperlink"/>
          </w:rPr>
          <w:t>1/10/2019</w:t>
        </w:r>
      </w:hyperlink>
    </w:p>
    <w:p w:rsidR="00C82357" w:rsidRDefault="00C82357" w:rsidP="00C82357"/>
    <w:p w:rsidR="00C82357" w:rsidRDefault="00C82357" w:rsidP="00C82357">
      <w:pPr>
        <w:sectPr w:rsidR="00C82357" w:rsidSect="00C82357">
          <w:pgSz w:w="12240" w:h="15840" w:code="1"/>
          <w:pgMar w:top="1080" w:right="1440" w:bottom="1080" w:left="1440" w:header="720" w:footer="720" w:gutter="0"/>
          <w:cols w:space="720"/>
          <w:noEndnote/>
          <w:docGrid w:linePitch="360"/>
        </w:sectPr>
      </w:pPr>
    </w:p>
    <w:p w:rsidR="00904C77" w:rsidRDefault="00904C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4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63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16</w:t>
      </w:r>
      <w:r>
        <w:rPr>
          <w:color w:val="000000" w:themeColor="text1"/>
        </w:rPr>
        <w:noBreakHyphen/>
        <w:t>3</w:t>
      </w:r>
      <w:r>
        <w:rPr>
          <w:color w:val="000000" w:themeColor="text1"/>
        </w:rPr>
        <w:noBreakHyphen/>
        <w:t>651, CODE OF LAWS OF SOUTH CAROLINA, 1976, RELATING TO CRIMINAL SEXUAL CONDUCT DEFINITIONS, SO AS TO ADD A DEFINITION FOR “CONSENT”.</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Pr>
          <w:color w:val="000000" w:themeColor="text1"/>
        </w:rPr>
        <w:t>Section 16</w:t>
      </w:r>
      <w:r>
        <w:rPr>
          <w:color w:val="000000" w:themeColor="text1"/>
        </w:rPr>
        <w:noBreakHyphen/>
        <w:t>3</w:t>
      </w:r>
      <w:r>
        <w:rPr>
          <w:color w:val="000000" w:themeColor="text1"/>
        </w:rPr>
        <w:noBreakHyphen/>
        <w:t>651 of the 1976 Code is amended to read:</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Pr>
          <w:color w:val="000000" w:themeColor="text1"/>
        </w:rPr>
        <w:noBreakHyphen/>
        <w:t>3</w:t>
      </w:r>
      <w:r>
        <w:rPr>
          <w:color w:val="000000" w:themeColor="text1"/>
        </w:rPr>
        <w:noBreakHyphen/>
        <w:t>651.</w:t>
      </w:r>
      <w:r>
        <w:rPr>
          <w:color w:val="000000" w:themeColor="text1"/>
        </w:rPr>
        <w:tab/>
        <w:t>For the purposes of Sections 16</w:t>
      </w:r>
      <w:r>
        <w:rPr>
          <w:color w:val="000000" w:themeColor="text1"/>
        </w:rPr>
        <w:noBreakHyphen/>
        <w:t>3</w:t>
      </w:r>
      <w:r>
        <w:rPr>
          <w:color w:val="000000" w:themeColor="text1"/>
        </w:rPr>
        <w:noBreakHyphen/>
        <w:t>651 to 16</w:t>
      </w:r>
      <w:r>
        <w:rPr>
          <w:color w:val="000000" w:themeColor="text1"/>
        </w:rPr>
        <w:noBreakHyphen/>
        <w:t>3</w:t>
      </w:r>
      <w:r>
        <w:rPr>
          <w:color w:val="000000" w:themeColor="text1"/>
        </w:rPr>
        <w:noBreakHyphen/>
        <w:t>659.1:</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r>
      <w:r w:rsidRPr="00B64C75">
        <w:rPr>
          <w:color w:val="000000" w:themeColor="text1"/>
        </w:rPr>
        <w:t>‘</w:t>
      </w:r>
      <w:r>
        <w:rPr>
          <w:color w:val="000000" w:themeColor="text1"/>
        </w:rPr>
        <w:t>Actor</w:t>
      </w:r>
      <w:r w:rsidRPr="00B64C75">
        <w:rPr>
          <w:color w:val="000000" w:themeColor="text1"/>
        </w:rPr>
        <w:t>’</w:t>
      </w:r>
      <w:r>
        <w:rPr>
          <w:color w:val="000000" w:themeColor="text1"/>
        </w:rPr>
        <w:t xml:space="preserve"> means a person accused of criminal sexual conduct.</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r>
      <w:r w:rsidRPr="00B64C75">
        <w:rPr>
          <w:color w:val="000000" w:themeColor="text1"/>
        </w:rPr>
        <w:t>‘</w:t>
      </w:r>
      <w:r>
        <w:rPr>
          <w:color w:val="000000" w:themeColor="text1"/>
        </w:rPr>
        <w:t>Aggravated coercion</w:t>
      </w:r>
      <w:r w:rsidRPr="00B64C75">
        <w:rPr>
          <w:color w:val="000000" w:themeColor="text1"/>
        </w:rPr>
        <w:t>’</w:t>
      </w:r>
      <w:r>
        <w:rPr>
          <w:color w:val="000000" w:themeColor="text1"/>
        </w:rPr>
        <w:t xml:space="preserve"> means that the actor threatens to use force or violence of a high and aggravated nature to overcome the victim or another person, if the victim reasonably believes that the actor has the present ability to carry out the threat, or threatens to retaliate in the future by the infliction of physical harm, kidnapping or extortion, under circumstances of aggravation, against the victim or any other person.</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r>
      <w:r w:rsidRPr="00B64C75">
        <w:rPr>
          <w:color w:val="000000" w:themeColor="text1"/>
        </w:rPr>
        <w:t>‘</w:t>
      </w:r>
      <w:r>
        <w:rPr>
          <w:color w:val="000000" w:themeColor="text1"/>
        </w:rPr>
        <w:t>Aggravated force</w:t>
      </w:r>
      <w:r w:rsidRPr="00B64C75">
        <w:rPr>
          <w:color w:val="000000" w:themeColor="text1"/>
        </w:rPr>
        <w:t>’</w:t>
      </w:r>
      <w:r>
        <w:rPr>
          <w:color w:val="000000" w:themeColor="text1"/>
        </w:rPr>
        <w:t xml:space="preserve"> means that the actor uses physical force or physical violence of a high and aggravated nature to overcome the victim or includes the threat of the use of a deadly weapon.</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t>(d)</w:t>
      </w:r>
      <w:r>
        <w:rPr>
          <w:color w:val="000000" w:themeColor="text1"/>
        </w:rPr>
        <w:tab/>
      </w:r>
      <w:r w:rsidRPr="00B64C75">
        <w:rPr>
          <w:color w:val="000000" w:themeColor="text1"/>
          <w:u w:val="single" w:color="000000" w:themeColor="text1"/>
        </w:rPr>
        <w:t>‘</w:t>
      </w:r>
      <w:r>
        <w:rPr>
          <w:color w:val="000000" w:themeColor="text1"/>
          <w:u w:val="single" w:color="000000" w:themeColor="text1"/>
        </w:rPr>
        <w:t>Consent</w:t>
      </w:r>
      <w:r w:rsidRPr="00B64C75">
        <w:rPr>
          <w:color w:val="000000" w:themeColor="text1"/>
          <w:u w:val="single" w:color="000000" w:themeColor="text1"/>
        </w:rPr>
        <w:t>’</w:t>
      </w:r>
      <w:r>
        <w:rPr>
          <w:color w:val="000000" w:themeColor="text1"/>
          <w:u w:val="single" w:color="000000" w:themeColor="text1"/>
        </w:rPr>
        <w:t xml:space="preserve"> means a freely given, knowledgeable, and informed agreement.</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u w:val="single" w:color="000000" w:themeColor="text1"/>
        </w:rPr>
        <w:t>(e)</w:t>
      </w:r>
      <w:r>
        <w:rPr>
          <w:color w:val="000000" w:themeColor="text1"/>
        </w:rPr>
        <w:tab/>
      </w:r>
      <w:r w:rsidRPr="00B64C75">
        <w:rPr>
          <w:color w:val="000000" w:themeColor="text1"/>
        </w:rPr>
        <w:t>‘</w:t>
      </w:r>
      <w:r>
        <w:rPr>
          <w:color w:val="000000" w:themeColor="text1"/>
        </w:rPr>
        <w:t>Intimate parts</w:t>
      </w:r>
      <w:r w:rsidRPr="00B64C75">
        <w:rPr>
          <w:color w:val="000000" w:themeColor="text1"/>
        </w:rPr>
        <w:t>’</w:t>
      </w:r>
      <w:r>
        <w:rPr>
          <w:color w:val="000000" w:themeColor="text1"/>
        </w:rPr>
        <w:t xml:space="preserve"> includes the primary genital area, anus, groin, inner thighs, or buttocks of a male or female human being and the breasts of a female human being.</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strike/>
          <w:color w:val="000000" w:themeColor="text1"/>
        </w:rPr>
        <w:t>(e)</w:t>
      </w:r>
      <w:r>
        <w:rPr>
          <w:color w:val="000000" w:themeColor="text1"/>
        </w:rPr>
        <w:t xml:space="preserve"> </w:t>
      </w:r>
      <w:r>
        <w:rPr>
          <w:color w:val="000000" w:themeColor="text1"/>
          <w:u w:val="single" w:color="000000" w:themeColor="text1"/>
        </w:rPr>
        <w:t>(f)</w:t>
      </w:r>
      <w:r>
        <w:rPr>
          <w:color w:val="000000" w:themeColor="text1"/>
        </w:rPr>
        <w:tab/>
      </w:r>
      <w:r w:rsidRPr="00B64C75">
        <w:rPr>
          <w:color w:val="000000" w:themeColor="text1"/>
        </w:rPr>
        <w:t>‘</w:t>
      </w:r>
      <w:r>
        <w:rPr>
          <w:color w:val="000000" w:themeColor="text1"/>
        </w:rPr>
        <w:t>Mentally defective</w:t>
      </w:r>
      <w:r w:rsidRPr="00B64C75">
        <w:rPr>
          <w:color w:val="000000" w:themeColor="text1"/>
        </w:rPr>
        <w:t>’</w:t>
      </w:r>
      <w:r>
        <w:rPr>
          <w:color w:val="000000" w:themeColor="text1"/>
        </w:rPr>
        <w:t xml:space="preserve"> means that a person suffers from a mental disease or defect which renders the person temporarily or permanently incapable of appraising the nature of his or her conduct.</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strike/>
          <w:color w:val="000000" w:themeColor="text1"/>
        </w:rPr>
        <w:t>(f)</w:t>
      </w:r>
      <w:r>
        <w:rPr>
          <w:color w:val="000000" w:themeColor="text1"/>
        </w:rPr>
        <w:t xml:space="preserve"> </w:t>
      </w:r>
      <w:r>
        <w:rPr>
          <w:color w:val="000000" w:themeColor="text1"/>
          <w:u w:val="single" w:color="000000" w:themeColor="text1"/>
        </w:rPr>
        <w:t>(g)</w:t>
      </w:r>
      <w:r>
        <w:rPr>
          <w:color w:val="000000" w:themeColor="text1"/>
        </w:rPr>
        <w:tab/>
      </w:r>
      <w:r w:rsidRPr="00B64C75">
        <w:rPr>
          <w:color w:val="000000" w:themeColor="text1"/>
        </w:rPr>
        <w:t>‘</w:t>
      </w:r>
      <w:r>
        <w:rPr>
          <w:color w:val="000000" w:themeColor="text1"/>
        </w:rPr>
        <w:t>Mentally incapacitated</w:t>
      </w:r>
      <w:r w:rsidRPr="00B64C75">
        <w:rPr>
          <w:color w:val="000000" w:themeColor="text1"/>
        </w:rPr>
        <w:t>’</w:t>
      </w:r>
      <w:r>
        <w:rPr>
          <w:color w:val="000000" w:themeColor="text1"/>
        </w:rPr>
        <w:t xml:space="preserve"> means that a person is rendered temporarily incapable of appraising or controlling his or her conduct whether this condition is produced by illness, defect, the influence of a substance or from some other cause.</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strike/>
          <w:color w:val="000000" w:themeColor="text1"/>
        </w:rPr>
        <w:t>(g)</w:t>
      </w:r>
      <w:r>
        <w:rPr>
          <w:color w:val="000000" w:themeColor="text1"/>
        </w:rPr>
        <w:t xml:space="preserve"> </w:t>
      </w:r>
      <w:r>
        <w:rPr>
          <w:color w:val="000000" w:themeColor="text1"/>
          <w:u w:val="single" w:color="000000" w:themeColor="text1"/>
        </w:rPr>
        <w:t>(h)</w:t>
      </w:r>
      <w:r>
        <w:rPr>
          <w:color w:val="000000" w:themeColor="text1"/>
        </w:rPr>
        <w:tab/>
      </w:r>
      <w:r w:rsidRPr="00B64C75">
        <w:rPr>
          <w:color w:val="000000" w:themeColor="text1"/>
        </w:rPr>
        <w:t>‘</w:t>
      </w:r>
      <w:r>
        <w:rPr>
          <w:color w:val="000000" w:themeColor="text1"/>
        </w:rPr>
        <w:t>Physically helpless</w:t>
      </w:r>
      <w:r w:rsidRPr="00B64C75">
        <w:rPr>
          <w:color w:val="000000" w:themeColor="text1"/>
        </w:rPr>
        <w:t>’</w:t>
      </w:r>
      <w:r>
        <w:rPr>
          <w:color w:val="000000" w:themeColor="text1"/>
        </w:rPr>
        <w:t xml:space="preserve"> means that a person is unconscious, asleep, or for any other reason physically unable to communicate unwillingness to an act.</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strike/>
          <w:color w:val="000000" w:themeColor="text1"/>
        </w:rPr>
        <w:t>(h)</w:t>
      </w:r>
      <w:r>
        <w:rPr>
          <w:color w:val="000000" w:themeColor="text1"/>
        </w:rPr>
        <w:t xml:space="preserve"> </w:t>
      </w:r>
      <w:r>
        <w:rPr>
          <w:color w:val="000000" w:themeColor="text1"/>
          <w:u w:val="single" w:color="000000" w:themeColor="text1"/>
        </w:rPr>
        <w:t>(i)</w:t>
      </w:r>
      <w:r>
        <w:rPr>
          <w:color w:val="000000" w:themeColor="text1"/>
        </w:rPr>
        <w:tab/>
      </w:r>
      <w:r w:rsidRPr="00B64C75">
        <w:rPr>
          <w:color w:val="000000" w:themeColor="text1"/>
        </w:rPr>
        <w:t>‘</w:t>
      </w:r>
      <w:r>
        <w:rPr>
          <w:color w:val="000000" w:themeColor="text1"/>
        </w:rPr>
        <w:t>Sexual battery</w:t>
      </w:r>
      <w:r w:rsidRPr="00B64C75">
        <w:rPr>
          <w:color w:val="000000" w:themeColor="text1"/>
        </w:rPr>
        <w:t>’</w:t>
      </w:r>
      <w:r>
        <w:rPr>
          <w:color w:val="000000" w:themeColor="text1"/>
        </w:rPr>
        <w:t xml:space="preserve"> means sexual intercourse, cunnilingus, fellatio, anal intercourse, or any intrusion, however slight, of any part of a person</w:t>
      </w:r>
      <w:r w:rsidRPr="00B64C75">
        <w:rPr>
          <w:color w:val="000000" w:themeColor="text1"/>
        </w:rPr>
        <w:t>’</w:t>
      </w:r>
      <w:r>
        <w:rPr>
          <w:color w:val="000000" w:themeColor="text1"/>
        </w:rPr>
        <w:t>s body or of any object into the genital or anal openings of another person</w:t>
      </w:r>
      <w:r w:rsidRPr="00B64C75">
        <w:rPr>
          <w:color w:val="000000" w:themeColor="text1"/>
        </w:rPr>
        <w:t>’</w:t>
      </w:r>
      <w:r>
        <w:rPr>
          <w:color w:val="000000" w:themeColor="text1"/>
        </w:rPr>
        <w:t>s body, except when such intrusion is accomplished for medically recognized treatment or diagnostic purposes.</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strike/>
          <w:color w:val="000000" w:themeColor="text1"/>
        </w:rPr>
        <w:t>(i)</w:t>
      </w:r>
      <w:r>
        <w:rPr>
          <w:color w:val="000000" w:themeColor="text1"/>
        </w:rPr>
        <w:t xml:space="preserve"> </w:t>
      </w:r>
      <w:r>
        <w:rPr>
          <w:color w:val="000000" w:themeColor="text1"/>
          <w:u w:val="single" w:color="000000" w:themeColor="text1"/>
        </w:rPr>
        <w:t>(j)</w:t>
      </w:r>
      <w:r>
        <w:rPr>
          <w:color w:val="000000" w:themeColor="text1"/>
        </w:rPr>
        <w:tab/>
      </w:r>
      <w:r w:rsidRPr="00B64C75">
        <w:rPr>
          <w:color w:val="000000" w:themeColor="text1"/>
        </w:rPr>
        <w:t>‘</w:t>
      </w:r>
      <w:r>
        <w:rPr>
          <w:color w:val="000000" w:themeColor="text1"/>
        </w:rPr>
        <w:t>Victim</w:t>
      </w:r>
      <w:r w:rsidRPr="00B64C75">
        <w:rPr>
          <w:color w:val="000000" w:themeColor="text1"/>
        </w:rPr>
        <w:t>’</w:t>
      </w:r>
      <w:r>
        <w:rPr>
          <w:color w:val="000000" w:themeColor="text1"/>
        </w:rPr>
        <w:t xml:space="preserve"> means the person alleging to have been subjected to criminal sexual conduct.”</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E17EF" w:rsidRDefault="00B64C75" w:rsidP="0063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2357" w:rsidRDefault="00C82357" w:rsidP="00C82357">
      <w:pPr>
        <w:suppressAutoHyphens/>
      </w:pPr>
    </w:p>
    <w:sectPr w:rsidR="00C82357" w:rsidSect="00C823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3B0" w:rsidRDefault="000063B0" w:rsidP="009F0C77">
      <w:r>
        <w:separator/>
      </w:r>
    </w:p>
  </w:endnote>
  <w:endnote w:type="continuationSeparator" w:id="0">
    <w:p w:rsidR="000063B0" w:rsidRDefault="000063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E02D52-B5DF-4911-AA01-D29DA034D0B6}"/>
    <w:embedBold r:id="rId2" w:fontKey="{8AEC8865-2C39-40FA-B71E-2386909D00D1}"/>
  </w:font>
  <w:font w:name="Calibri">
    <w:panose1 w:val="020F0502020204030204"/>
    <w:charset w:val="00"/>
    <w:family w:val="swiss"/>
    <w:pitch w:val="variable"/>
    <w:sig w:usb0="E00002FF" w:usb1="4000ACFF" w:usb2="00000001" w:usb3="00000000" w:csb0="0000019F" w:csb1="00000000"/>
    <w:embedRegular r:id="rId3" w:fontKey="{74FE81C0-A097-42B6-9D1B-C5335AA266A8}"/>
  </w:font>
  <w:font w:name="Cambria">
    <w:panose1 w:val="02040503050406030204"/>
    <w:charset w:val="00"/>
    <w:family w:val="roman"/>
    <w:pitch w:val="variable"/>
    <w:sig w:usb0="E00002FF" w:usb1="400004FF" w:usb2="00000000" w:usb3="00000000" w:csb0="0000019F" w:csb1="00000000"/>
    <w:embedRegular r:id="rId4" w:fontKey="{74001521-8D0F-4824-946A-7666F1DCDD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357" w:rsidRPr="00904C77" w:rsidRDefault="00C82357" w:rsidP="00904C77">
    <w:pPr>
      <w:pStyle w:val="Footer"/>
      <w:tabs>
        <w:tab w:val="clear" w:pos="4680"/>
        <w:tab w:val="clear" w:pos="9360"/>
        <w:tab w:val="center" w:pos="2995"/>
      </w:tabs>
      <w:spacing w:before="120"/>
    </w:pPr>
    <w:r>
      <w:t>[361]</w:t>
    </w:r>
    <w:r>
      <w:tab/>
    </w:r>
    <w:r>
      <w:fldChar w:fldCharType="begin"/>
    </w:r>
    <w:r>
      <w:instrText xml:space="preserve"> PAGE  \* MERGEFORMAT </w:instrText>
    </w:r>
    <w:r>
      <w:fldChar w:fldCharType="separate"/>
    </w:r>
    <w:r w:rsidR="00594C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3B0" w:rsidRDefault="000063B0" w:rsidP="009F0C77">
      <w:r>
        <w:separator/>
      </w:r>
    </w:p>
  </w:footnote>
  <w:footnote w:type="continuationSeparator" w:id="0">
    <w:p w:rsidR="000063B0" w:rsidRDefault="000063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20SA19"/>
    <w:docVar w:name="CoverBillType" w:val="b"/>
    <w:docVar w:name="DocPath" w:val="L:\Council\bills\RT\17520SA19.DOCX"/>
    <w:docVar w:name="dvBillNumber" w:val="361"/>
    <w:docVar w:name="dvBillNumberPrefix" w:val="S. "/>
    <w:docVar w:name="dvOriginalBody" w:val="Senate"/>
    <w:docVar w:name="dvSteno" w:val="RT"/>
    <w:docVar w:name="NameofBody" w:val="s"/>
    <w:docVar w:name="vGroup2" w:val="Council"/>
  </w:docVars>
  <w:rsids>
    <w:rsidRoot w:val="000063B0"/>
    <w:rsid w:val="00002429"/>
    <w:rsid w:val="000063B0"/>
    <w:rsid w:val="000263D9"/>
    <w:rsid w:val="00026C9A"/>
    <w:rsid w:val="000965A1"/>
    <w:rsid w:val="000C487D"/>
    <w:rsid w:val="000E1785"/>
    <w:rsid w:val="000F39F2"/>
    <w:rsid w:val="001023A4"/>
    <w:rsid w:val="0010776B"/>
    <w:rsid w:val="00133E66"/>
    <w:rsid w:val="00134ACF"/>
    <w:rsid w:val="00144E15"/>
    <w:rsid w:val="001726E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94CD4"/>
    <w:rsid w:val="005C5AC4"/>
    <w:rsid w:val="0061228A"/>
    <w:rsid w:val="006215AA"/>
    <w:rsid w:val="006340D9"/>
    <w:rsid w:val="00637F4E"/>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4C77"/>
    <w:rsid w:val="00932670"/>
    <w:rsid w:val="009352BB"/>
    <w:rsid w:val="00990668"/>
    <w:rsid w:val="009B397B"/>
    <w:rsid w:val="009F0C77"/>
    <w:rsid w:val="009F4DD1"/>
    <w:rsid w:val="00A147A8"/>
    <w:rsid w:val="00A64E80"/>
    <w:rsid w:val="00A741D9"/>
    <w:rsid w:val="00A85589"/>
    <w:rsid w:val="00A9741D"/>
    <w:rsid w:val="00AB0576"/>
    <w:rsid w:val="00AD4B17"/>
    <w:rsid w:val="00AF2901"/>
    <w:rsid w:val="00B26FA6"/>
    <w:rsid w:val="00B64C75"/>
    <w:rsid w:val="00B741CB"/>
    <w:rsid w:val="00B84B39"/>
    <w:rsid w:val="00B87AF8"/>
    <w:rsid w:val="00B934F3"/>
    <w:rsid w:val="00BB6347"/>
    <w:rsid w:val="00BD2134"/>
    <w:rsid w:val="00BE17EF"/>
    <w:rsid w:val="00C038D8"/>
    <w:rsid w:val="00C045DD"/>
    <w:rsid w:val="00C3136F"/>
    <w:rsid w:val="00C3483A"/>
    <w:rsid w:val="00C74E9D"/>
    <w:rsid w:val="00C82357"/>
    <w:rsid w:val="00C82FD3"/>
    <w:rsid w:val="00C9339C"/>
    <w:rsid w:val="00CC2C8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7BD6DD-9008-459C-9274-04716BE0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823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62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1_20190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3EAF0-C87B-4F40-8053-F84EA2D92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3</Pages>
  <Words>472</Words>
  <Characters>2567</Characters>
  <Application>Microsoft Office Word</Application>
  <DocSecurity>0</DocSecurity>
  <Lines>93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361: Criminal sexual conduct - South Carolina Legislature Online</dc:title>
  <dc:subject/>
  <dc:creator>Rebecca Turner</dc:creator>
  <cp:keywords/>
  <dc:description/>
  <cp:lastModifiedBy>S Volk</cp:lastModifiedBy>
  <cp:revision>2</cp:revision>
  <dcterms:created xsi:type="dcterms:W3CDTF">2019-01-18T20:38:00Z</dcterms:created>
  <dcterms:modified xsi:type="dcterms:W3CDTF">2019-01-18T20:38:00Z</dcterms:modified>
</cp:coreProperties>
</file>